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微软雅黑" w:hAnsi="微软雅黑" w:eastAsia="微软雅黑"/>
          <w:b/>
          <w:color w:val="2F5496"/>
          <w:sz w:val="30"/>
        </w:rPr>
        <w:t>仿照 FCN 改进 LeNet-5 的手写数字分割</w:t>
      </w:r>
    </w:p>
    <w:p>
      <w:pPr>
        <w:spacing w:after="100"/>
        <w:jc w:val="center"/>
      </w:pPr>
      <w:r>
        <w:rPr>
          <w:rFonts w:ascii="微软雅黑" w:hAnsi="微软雅黑" w:eastAsia="微软雅黑"/>
          <w:b w:val="0"/>
          <w:sz w:val="20"/>
        </w:rPr>
        <w:t>课程报告        姓名：____________    学号：____________</w:t>
      </w:r>
    </w:p>
    <w:p>
      <w:pPr>
        <w:spacing w:before="100" w:after="40"/>
      </w:pPr>
      <w:r>
        <w:rPr>
          <w:rFonts w:ascii="微软雅黑" w:hAnsi="微软雅黑" w:eastAsia="微软雅黑"/>
          <w:b/>
          <w:color w:val="2F5496"/>
          <w:sz w:val="25"/>
        </w:rPr>
        <w:t>一、任务</w:t>
      </w:r>
    </w:p>
    <w:p>
      <w:r>
        <w:rPr>
          <w:rFonts w:ascii="微软雅黑" w:hAnsi="微软雅黑" w:eastAsia="微软雅黑"/>
          <w:b w:val="0"/>
          <w:sz w:val="20"/>
        </w:rPr>
        <w:t>在合成数据上，把分类网络 LeNet-5 仿照 FCN 改造为全卷积分割网络，实现手写数字的像素级分割。数据集为 MNIST。按要求对比两种上采样方式（Upsampling、Deconvolution）与两种分割粒度（前景/背景 2 分类、按数字类别的 10 分类），共 2×2＝4 个组合。分割与分类的区别在于：分类对整张图输出一个标签，分割要对每个像素输出一个标签。</w:t>
      </w:r>
    </w:p>
    <w:p>
      <w:pPr>
        <w:spacing w:before="100" w:after="40"/>
      </w:pPr>
      <w:r>
        <w:rPr>
          <w:rFonts w:ascii="微软雅黑" w:hAnsi="微软雅黑" w:eastAsia="微软雅黑"/>
          <w:b/>
          <w:color w:val="2F5496"/>
          <w:sz w:val="25"/>
        </w:rPr>
        <w:t>二、数据合成</w:t>
      </w:r>
    </w:p>
    <w:p>
      <w:r>
        <w:rPr>
          <w:rFonts w:ascii="微软雅黑" w:hAnsi="微软雅黑" w:eastAsia="微软雅黑"/>
          <w:b w:val="0"/>
          <w:sz w:val="20"/>
        </w:rPr>
        <w:t>单张训练样本的生成：① 从 MNIST 取一个数字，按灰度阈值（归一化后 &gt;0.3）抠出笔画作为前景；② 从网络下载的 20 张真实照片中随机裁一块 patch 作背景画布（64×64）；③ 数字随机缩放（0.8~1.6 倍）、随机平移后贴到背景上得到合成图；④ 同步生成分割标注 GT。2 分类时前景记为 1、背景为 0；10 分类时前景记为“数字类别+1”（1~10）、背景为 0，因此 10 分类实际是 11 个输出通道（通道 0 为背景，通道 1~10 对应数字 0~9）。</w:t>
      </w:r>
    </w:p>
    <w:p>
      <w:r>
        <w:rPr>
          <w:rFonts w:ascii="微软雅黑" w:hAnsi="微软雅黑" w:eastAsia="微软雅黑"/>
          <w:b w:val="0"/>
          <w:sz w:val="20"/>
        </w:rPr>
        <w:t>几点设计考量：画布取 64×64（而非数字原始的 28×28），是为了给背景和随机位置留出空间，也便于编码器两次下采样后尺寸仍可被整除；随机缩放与平移用于增加样本多样性、避免网络记住固定位置；每张图只放一个数字，使 GT 生成简单明确。合成样例见 results/sample_synthesis.png。</w:t>
      </w:r>
    </w:p>
    <w:p>
      <w:pPr>
        <w:spacing w:before="100" w:after="40"/>
      </w:pPr>
      <w:r>
        <w:rPr>
          <w:rFonts w:ascii="微软雅黑" w:hAnsi="微软雅黑" w:eastAsia="微软雅黑"/>
          <w:b/>
          <w:color w:val="2F5496"/>
          <w:sz w:val="25"/>
        </w:rPr>
        <w:t>三、网络结构</w:t>
      </w:r>
    </w:p>
    <w:p>
      <w:r>
        <w:rPr>
          <w:rFonts w:ascii="微软雅黑" w:hAnsi="微软雅黑" w:eastAsia="微软雅黑"/>
          <w:b w:val="0"/>
          <w:sz w:val="20"/>
        </w:rPr>
        <w:t>以 LeNet-5 为骨干做三处改造：①全卷积化——去掉末端全连接层，用 1×1 卷积替代，使网络逐像素输出类别、并能接受任意尺寸输入；②编码器沿用 LeNet-5 的卷积+tanh+平均池化提取特征，经两次池化下采样到 16×16；③解码器把特征上采样回 64×64，并仿照 FCN-8s 加入跳跃连接（skip connection），把编码器浅层的高分辨率特征融合进解码器，用于恢复分割边界。</w:t>
      </w:r>
    </w:p>
    <w:p>
      <w:r>
        <w:rPr>
          <w:rFonts w:ascii="微软雅黑" w:hAnsi="微软雅黑" w:eastAsia="微软雅黑"/>
          <w:b w:val="0"/>
          <w:sz w:val="20"/>
        </w:rPr>
        <w:t>上采样有两种实现：Upsampling 用双线性插值，无额外参数；Deconvolution 用转置卷积，含可学习参数，其权重用双线性核初始化。关于损失：分割即逐像素分类，用交叉熵；但合成图中背景像素约占 94%，不处理的话网络会把整图判为背景，故对背景类设较低权重（0.3）做前景加权，迫使网络学习前景。</w:t>
      </w:r>
    </w:p>
    <w:p>
      <w:pPr>
        <w:spacing w:before="100" w:after="40"/>
      </w:pPr>
      <w:r>
        <w:rPr>
          <w:rFonts w:ascii="微软雅黑" w:hAnsi="微软雅黑" w:eastAsia="微软雅黑"/>
          <w:b/>
          <w:color w:val="2F5496"/>
          <w:sz w:val="25"/>
        </w:rPr>
        <w:t>四、训练配置</w:t>
      </w:r>
    </w:p>
    <w:p>
      <w:r>
        <w:rPr>
          <w:rFonts w:ascii="微软雅黑" w:hAnsi="微软雅黑" w:eastAsia="微软雅黑"/>
          <w:b w:val="0"/>
          <w:sz w:val="20"/>
        </w:rPr>
        <w:t>优化器 Adam，初始学习率 1e-3，batch size 64，输入 1×64×64。训练集每轮在线合成 6000 张、测试集 1200 张，随机种子固定以保证可复现。评估指标为 mIoU 与像素准确率：mIoU 对每个类别计算“预测与真值的交集/并集”(IoU) 后取平均，是分割的标准指标；像素准确率为预测正确的像素比例。由于背景占比高，像素准确率会偏高（全判背景也有约 94%），故以 mIoU 为主。</w:t>
      </w:r>
    </w:p>
    <w:p>
      <w:pPr>
        <w:spacing w:before="100" w:after="40"/>
      </w:pPr>
      <w:r>
        <w:rPr>
          <w:rFonts w:ascii="微软雅黑" w:hAnsi="微软雅黑" w:eastAsia="微软雅黑"/>
          <w:b/>
          <w:color w:val="2F5496"/>
          <w:sz w:val="25"/>
        </w:rPr>
        <w:t>五、实验结果</w:t>
      </w:r>
    </w:p>
    <w:p>
      <w:r>
        <w:rPr>
          <w:rFonts w:ascii="微软雅黑" w:hAnsi="微软雅黑" w:eastAsia="微软雅黑"/>
          <w:b w:val="0"/>
          <w:sz w:val="20"/>
        </w:rPr>
        <w:t>4 个组合的最优结果如下。对 10 分类，标准 mIoU 会把每张图中缺席的 9 个数字类按 IoU=0 计入而偏低，故额外报告“仅对图中出现类别计 IoU”的 mIoU（出现类）。各组合的分割可视化（输入/GT/预测三联图）见 results/&lt;组合名&gt;_pred.png，训练曲线见 results/&lt;组合名&gt;_curves.png。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组合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分割粒度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上采样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mIoU(全类)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mIoU(出现类)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像素准确率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2cls_upsample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 分类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Upsampling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61,074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98.7%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2cls_deconv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 分类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Deconv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61,206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98.7%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10cls_upsample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 分类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Upsampling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62,055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97.2%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10cls_deconv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 分类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Deconv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65,949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97.2%</w:t>
            </w:r>
          </w:p>
        </w:tc>
      </w:tr>
    </w:tbl>
    <w:p>
      <w:pPr>
        <w:spacing w:after="20"/>
      </w:pPr>
    </w:p>
    <w:p>
      <w:pPr>
        <w:spacing w:before="100" w:after="40"/>
      </w:pPr>
      <w:r>
        <w:rPr>
          <w:rFonts w:ascii="微软雅黑" w:hAnsi="微软雅黑" w:eastAsia="微软雅黑"/>
          <w:b/>
          <w:color w:val="2F5496"/>
          <w:sz w:val="25"/>
        </w:rPr>
        <w:t>六、优化与消融</w:t>
      </w:r>
    </w:p>
    <w:p>
      <w:r>
        <w:rPr>
          <w:rFonts w:ascii="微软雅黑" w:hAnsi="微软雅黑" w:eastAsia="微软雅黑"/>
          <w:b w:val="0"/>
          <w:sz w:val="20"/>
        </w:rPr>
        <w:t>在不改骨干、不改数据合成、不改 4 组合设定的前提下，做了三项训练/评估层面的优化并与基线对比：①在交叉熵基础上加 Dice 损失，直接优化前景重叠度，缓解类别不均衡；②训练轮数由 25 提到 50，并加余弦学习率衰减；③补充 mIoU（出现类）评估口径。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组合</w:t>
            </w:r>
          </w:p>
        </w:tc>
        <w:tc>
          <w:tcPr>
            <w:tcW w:type="dxa" w:w="252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基线 mIoU</w:t>
            </w:r>
          </w:p>
        </w:tc>
        <w:tc>
          <w:tcPr>
            <w:tcW w:type="dxa" w:w="252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优化后 mIoU(全类)</w:t>
            </w:r>
          </w:p>
        </w:tc>
        <w:tc>
          <w:tcPr>
            <w:tcW w:type="dxa" w:w="252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优化后 mIoU(出现类)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 分类 Upsampling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0.845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0.867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0.857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 分类 Deconv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0.802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0.866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0.855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 分类 Upsampling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0.420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0.408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0.706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 分类 Deconv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0.395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0.415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0.708</w:t>
            </w:r>
          </w:p>
        </w:tc>
      </w:tr>
    </w:tbl>
    <w:p>
      <w:pPr>
        <w:spacing w:after="20"/>
      </w:pPr>
    </w:p>
    <w:p>
      <w:r>
        <w:rPr>
          <w:rFonts w:ascii="微软雅黑" w:hAnsi="微软雅黑" w:eastAsia="微软雅黑"/>
          <w:b w:val="0"/>
          <w:sz w:val="20"/>
        </w:rPr>
        <w:t>其中一个值得记录的点：转置卷积若用默认随机初始化，10 分类的 Deconv 组合 mIoU 一度只有 0.13、前景 IoU 接近 0（训练不稳定、几乎只输出背景）；改用双线性核初始化后回升到 0.40，与 Upsampling 持平。说明对转置卷积，初始化方式对能否稳定收敛影响很大。</w:t>
      </w:r>
    </w:p>
    <w:p>
      <w:pPr>
        <w:spacing w:before="100" w:after="40"/>
      </w:pPr>
      <w:r>
        <w:rPr>
          <w:rFonts w:ascii="微软雅黑" w:hAnsi="微软雅黑" w:eastAsia="微软雅黑"/>
          <w:b/>
          <w:color w:val="2F5496"/>
          <w:sz w:val="25"/>
        </w:rPr>
        <w:t>七、分析与结论</w:t>
      </w:r>
    </w:p>
    <w:p>
      <w:r>
        <w:rPr>
          <w:rFonts w:ascii="微软雅黑" w:hAnsi="微软雅黑" w:eastAsia="微软雅黑"/>
          <w:b w:val="0"/>
          <w:sz w:val="20"/>
        </w:rPr>
        <w:t>① 跳跃连接与组合损失有效：2 分类 mIoU 从 0.80 档提升到 0.86，边界明显更清晰；两种上采样最终接近，Upsampling 参数更少，Deconv 在正确初始化下才能发挥。② 10 分类更难——不仅要分出前景，还要在前景内区分 0~9，标准 mIoU 偏低；但出现类 mIoU 达 0.71，说明对实际出现的数字分割质量尚可，低值主要来自“缺席类别计 0”的评估口径。观察预测图，10 分类的主要错误是数字定位准确但类别判错、以及细笔画边界偏糊，与 LeNet-5 特征较弱、分辨率损失一致。</w:t>
      </w:r>
    </w:p>
    <w:p>
      <w:r>
        <w:rPr>
          <w:rFonts w:ascii="微软雅黑" w:hAnsi="微软雅黑" w:eastAsia="微软雅黑"/>
          <w:b w:val="0"/>
          <w:sz w:val="20"/>
        </w:rPr>
        <w:t>③ 从训练曲线看模型已基本收敛（2 分类末段 mIoU 不再上升、train_loss 稳定在 0.16）。瓶颈是结构性的：LeNet-5 骨干较浅、编码器下采样到 16×16 丢失空间细节，小数字边界只有几个像素、难以精确分割。在骨干限定为 LeNet-5 的要求下，当前结果已接近该框架的能力上限；若允许更深骨干或更高输入分辨率，精度还可提升。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