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环保局“驾驶舱”系统建设需求沟通说明</w:t>
      </w:r>
    </w:p>
    <w:p>
      <w:pPr>
        <w:jc w:val="center"/>
      </w:pPr>
      <w:r>
        <w:rPr>
          <w:rFonts w:ascii="宋体" w:hAnsi="宋体" w:eastAsia="宋体"/>
          <w:color w:val="555555"/>
          <w:sz w:val="22"/>
        </w:rPr>
        <w:t>——2026年7月10日项目沟通会议纪要及待确认事项（含事件处置归档与结案报告模块）</w:t>
      </w:r>
    </w:p>
    <w:p>
      <w:pPr>
        <w:jc w:val="left"/>
      </w:pPr>
      <w:r>
        <w:rPr>
          <w:rFonts w:ascii="黑体" w:hAnsi="黑体" w:eastAsia="黑体"/>
          <w:b/>
          <w:sz w:val="30"/>
        </w:rPr>
        <w:t>会议背景</w:t>
      </w:r>
    </w:p>
    <w:p>
      <w:r>
        <w:rPr>
          <w:rFonts w:ascii="宋体" w:hAnsi="宋体" w:eastAsia="宋体"/>
          <w:b w:val="0"/>
          <w:sz w:val="22"/>
        </w:rPr>
        <w:t>2026年7月10日，我方与环保局召开“驾驶舱”系统建设项目沟通会议，就系统建设目标、展示内容与落地条件进行了初步交流。根据会议讨论情况，现梳理出三项需与环保局进一步沟通并予确认的重点事项，以便我方推进后续硬件准备与需求文档编制工作。</w:t>
      </w:r>
    </w:p>
    <w:p>
      <w:pPr>
        <w:jc w:val="left"/>
      </w:pPr>
      <w:r>
        <w:rPr>
          <w:rFonts w:ascii="黑体" w:hAnsi="黑体" w:eastAsia="黑体"/>
          <w:b/>
          <w:sz w:val="30"/>
        </w:rPr>
        <w:t>需与环保局确认的事项</w:t>
      </w:r>
    </w:p>
    <w:p>
      <w:pPr>
        <w:jc w:val="left"/>
      </w:pPr>
      <w:r>
        <w:rPr>
          <w:rFonts w:ascii="黑体" w:hAnsi="黑体" w:eastAsia="黑体"/>
          <w:b/>
          <w:sz w:val="26"/>
        </w:rPr>
        <w:t>（一）驾驶舱适配终端的硬件配置要求</w:t>
      </w:r>
    </w:p>
    <w:p>
      <w:r>
        <w:rPr>
          <w:rFonts w:ascii="宋体" w:hAnsi="宋体" w:eastAsia="宋体"/>
          <w:b w:val="0"/>
          <w:sz w:val="22"/>
        </w:rPr>
        <w:t>为保障驾驶舱系统（尤其是大屏集中展示与交互演示环节）稳定、流畅运行，建议部署终端满足以下最低硬件配置标准：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配置项</w:t>
            </w:r>
          </w:p>
        </w:tc>
        <w:tc>
          <w:tcPr>
            <w:tcW w:type="dxa" w:w="316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最低要求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内存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≥ 16GB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建议 32GB 以预留余量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CPU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≥ Intel i3-12400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或同级别及以上型号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显卡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≥ NVIDIA RTX 2060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需支持多路视频硬解码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硬盘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固态硬盘（SSD）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系统及数据盘均建议 SSD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显示器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分辨率 ≥ 2560×1440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2K 及以上，适配大屏投屏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网络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电子政务网独享带宽 ≥ 20MB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可在网关侧进行带宽分配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配置依据：驾驶舱需同时承载约 30 路视频信号在大屏集中展示；若用于向上级领导汇报，还将涉及气象模拟及实时数据回传至电子地图的实景演示，几乎全部为实时（“活”）数据，且交互操作演示的功能点较多。因此终端需具备较强的计算、图形处理与网络传输能力，以保障多路视频、实时地图与交互演示的整体效果稳定流畅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（二）基于重庆两江新区市驾驶舱的改造对接需求</w:t>
      </w:r>
    </w:p>
    <w:p>
      <w:r>
        <w:rPr>
          <w:rFonts w:ascii="宋体" w:hAnsi="宋体" w:eastAsia="宋体"/>
          <w:b w:val="0"/>
          <w:sz w:val="22"/>
        </w:rPr>
        <w:t>驾驶舱将参照“重庆两江新区市驾驶舱”的成熟模式进行改造对接。为明确改造范围、功能边界与数据对接方案，我方将编制一份图文并茂的需求文档，作为后续系统对接与开发的重要依据。该文档拟包含以下内容：</w:t>
      </w:r>
    </w:p>
    <w:p>
      <w:pPr>
        <w:pStyle w:val="ListBullet"/>
      </w:pPr>
      <w:r>
        <w:rPr>
          <w:rFonts w:ascii="宋体" w:hAnsi="宋体" w:eastAsia="宋体"/>
          <w:sz w:val="22"/>
        </w:rPr>
        <w:t>界面参考：提供重庆两江新区市驾驶舱的界面截图，并对各功能点辅以文字说明，明确驾驶舱的页面布局、模块划分与交互方式。</w:t>
      </w:r>
    </w:p>
    <w:p>
      <w:pPr>
        <w:pStyle w:val="ListBullet"/>
      </w:pPr>
      <w:r>
        <w:rPr>
          <w:rFonts w:ascii="宋体" w:hAnsi="宋体" w:eastAsia="宋体"/>
          <w:sz w:val="22"/>
        </w:rPr>
        <w:t>展示数据清单：逐项列明驾驶舱需展示的数据指标（如空气质量、污染源监控、视频点位等），并说明其展示形式（图表、地图、列表、视频等）。</w:t>
      </w:r>
    </w:p>
    <w:p>
      <w:pPr>
        <w:pStyle w:val="ListBullet"/>
      </w:pPr>
      <w:r>
        <w:rPr>
          <w:rFonts w:ascii="宋体" w:hAnsi="宋体" w:eastAsia="宋体"/>
          <w:sz w:val="22"/>
        </w:rPr>
        <w:t>数据来源说明：逐一标注上述数据的来源，包括对接的业务系统、数据接口（API/数据库）、以及是否需人工填报或外部导入，明确数据获取路径与责任方。</w:t>
      </w:r>
    </w:p>
    <w:p>
      <w:pPr>
        <w:pStyle w:val="ListBullet"/>
      </w:pPr>
      <w:r>
        <w:rPr>
          <w:rFonts w:ascii="宋体" w:hAnsi="宋体" w:eastAsia="宋体"/>
          <w:sz w:val="22"/>
        </w:rPr>
        <w:t>表格导入导出能力：明确各数据是否支持通过表格（Excel/CSV）进行批量导入与导出，以及导入导出的字段范围、频率与操作权限，便于日常运维与离线补录。</w:t>
      </w:r>
    </w:p>
    <w:p>
      <w:r>
        <w:rPr>
          <w:rFonts w:ascii="宋体" w:hAnsi="宋体" w:eastAsia="宋体"/>
          <w:b w:val="0"/>
          <w:sz w:val="22"/>
        </w:rPr>
        <w:t>恳请环保局对上述文档范围内的数据范围、来源系统及表格导入导出方式予以确认或补充，以便我方据此形成正式需求规格并启动对接开发。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（三）事件处置归档与结案报告模块（新增，待确认）</w:t>
      </w:r>
    </w:p>
    <w:p>
      <w:r>
        <w:rPr>
          <w:rFonts w:ascii="宋体" w:hAnsi="宋体" w:eastAsia="宋体"/>
          <w:b w:val="0"/>
          <w:sz w:val="22"/>
        </w:rPr>
        <w:t>为落实环境执法“闭环留痕”要求，驾驶舱拟新增「事件处置 → 归档 → 结案PDF」能力，并接入**三级城运中心**实现事件自动流转处置的闭环。设计要点如下：</w:t>
      </w:r>
    </w:p>
    <w:p>
      <w:pPr>
        <w:pStyle w:val="ListBullet"/>
      </w:pPr>
      <w:r>
        <w:rPr>
          <w:rFonts w:ascii="宋体" w:hAnsi="宋体" w:eastAsia="宋体"/>
          <w:sz w:val="22"/>
        </w:rPr>
        <w:t>闭环链路：预警产生 → 驾驶舱经城运中心 API 推送事件 → 三级城运中心流转至政务系统处置 → 处置完成后城运中心将处置结果**反馈回驾驶舱** → 自动更新事件状态并写回处置信息 → 形成“待结案” → 一键生成 PDF 结案归档。</w:t>
      </w:r>
    </w:p>
    <w:p>
      <w:pPr>
        <w:pStyle w:val="ListBullet"/>
      </w:pPr>
      <w:r>
        <w:rPr>
          <w:rFonts w:ascii="宋体" w:hAnsi="宋体" w:eastAsia="宋体"/>
          <w:sz w:val="22"/>
        </w:rPr>
        <w:t>事件范围：覆盖驾驶舱全部预警。命中城运推送规则的经城运中心流转处置；未命中的仍可由值守人员本地处置（handled），两类事件均可生成结案报告。</w:t>
      </w:r>
    </w:p>
    <w:p>
      <w:pPr>
        <w:pStyle w:val="ListBullet"/>
      </w:pPr>
      <w:r>
        <w:rPr>
          <w:rFonts w:ascii="宋体" w:hAnsi="宋体" w:eastAsia="宋体"/>
          <w:sz w:val="22"/>
        </w:rPr>
        <w:t>处置留痕：城运回调自动写回「处置措施、处置结果、责任单位、责任人、现场照片、政务派单号、处置/反馈时间」；本地处置由值守人员录入同样字段。</w:t>
      </w:r>
    </w:p>
    <w:p>
      <w:pPr>
        <w:pStyle w:val="ListBullet"/>
      </w:pPr>
      <w:r>
        <w:rPr>
          <w:rFonts w:ascii="宋体" w:hAnsi="宋体" w:eastAsia="宋体"/>
          <w:sz w:val="22"/>
        </w:rPr>
        <w:t>结案报告版式：参照万州区生态环境局《气体溯源系统》已生成的“无人机大气巡查污染溯源报告”版式（事件概况 → 证据与监测分析 → 气象条件 → 溯源分析 → 处置记录 → 综合研判结论），确保执法文书风格统一。</w:t>
      </w:r>
    </w:p>
    <w:p>
      <w:pPr>
        <w:pStyle w:val="ListBullet"/>
      </w:pPr>
      <w:r>
        <w:rPr>
          <w:rFonts w:ascii="宋体" w:hAnsi="宋体" w:eastAsia="宋体"/>
          <w:sz w:val="22"/>
        </w:rPr>
        <w:t>溯源章节条件填充：报告中的“监测分析 / 气象条件 / 溯源分析”等依赖气体溯源数据的章节，按事件类型条件填充——关联到无人机气体巡查任务的事件填入真实溯源数据；纯 IoT 视频 / 空气质量事件标注“无溯源数据 / 不适用”，不强行编造。</w:t>
      </w:r>
    </w:p>
    <w:p>
      <w:pPr>
        <w:pStyle w:val="ListBullet"/>
      </w:pPr>
      <w:r>
        <w:rPr>
          <w:rFonts w:ascii="宋体" w:hAnsi="宋体" w:eastAsia="宋体"/>
          <w:sz w:val="22"/>
        </w:rPr>
        <w:t>生成方式：报告在前端浏览器端由 html2canvas + jsPDF 生成并下载，与气体溯源系统技术路线一致，后端改动小。</w:t>
      </w:r>
    </w:p>
    <w:p>
      <w:r>
        <w:rPr>
          <w:rFonts w:ascii="宋体" w:hAnsi="宋体" w:eastAsia="宋体"/>
          <w:b/>
          <w:sz w:val="22"/>
        </w:rPr>
        <w:t>需环保局重点确认的要点：</w:t>
      </w:r>
    </w:p>
    <w:p>
      <w:pPr>
        <w:pStyle w:val="ListBullet"/>
      </w:pPr>
      <w:r>
        <w:rPr>
          <w:rFonts w:ascii="宋体" w:hAnsi="宋体" w:eastAsia="宋体"/>
          <w:sz w:val="22"/>
        </w:rPr>
        <w:t>处置留痕字段是否满足执法存档要求（是否需扩展字段、是否需电子签章）。</w:t>
      </w:r>
    </w:p>
    <w:p>
      <w:pPr>
        <w:pStyle w:val="ListBullet"/>
      </w:pPr>
      <w:r>
        <w:rPr>
          <w:rFonts w:ascii="宋体" w:hAnsi="宋体" w:eastAsia="宋体"/>
          <w:sz w:val="22"/>
        </w:rPr>
        <w:t>结案报告是否需纳入统一档案管理系统 / 纸质打印归档 / 审计留存期限。</w:t>
      </w:r>
    </w:p>
    <w:p>
      <w:pPr>
        <w:pStyle w:val="ListBullet"/>
      </w:pPr>
      <w:r>
        <w:rPr>
          <w:rFonts w:ascii="宋体" w:hAnsi="宋体" w:eastAsia="宋体"/>
          <w:sz w:val="22"/>
        </w:rPr>
        <w:t>对无溯源数据的事件，报告“溯源”章节标注“不适用”是否被接受。</w:t>
      </w:r>
    </w:p>
    <w:p>
      <w:pPr>
        <w:pStyle w:val="ListBullet"/>
      </w:pPr>
      <w:r>
        <w:rPr>
          <w:rFonts w:ascii="宋体" w:hAnsi="宋体" w:eastAsia="宋体"/>
          <w:sz w:val="22"/>
        </w:rPr>
        <w:t>处置与归档的操作权限（值守人员可处置/生成、管理员可配置对接与归档导出）如何划分。</w:t>
      </w:r>
    </w:p>
    <w:p>
      <w:pPr>
        <w:pStyle w:val="ListBullet"/>
      </w:pPr>
      <w:r>
        <w:rPr>
          <w:rFonts w:ascii="宋体" w:hAnsi="宋体" w:eastAsia="宋体"/>
          <w:sz w:val="22"/>
        </w:rPr>
        <w:t>城运中心对接要点：事件关联键（event_id）约定、回调接口字段规范、回调鉴权令牌/来源 IP 白名单的交换方式、推送重试与反馈超时阈值等，需与城运中心（三级城运）确认接口能力。</w:t>
      </w:r>
    </w:p>
    <w:p>
      <w:pPr>
        <w:jc w:val="left"/>
      </w:pPr>
      <w:r>
        <w:rPr>
          <w:rFonts w:ascii="黑体" w:hAnsi="黑体" w:eastAsia="黑体"/>
          <w:b/>
          <w:sz w:val="30"/>
        </w:rPr>
        <w:t>下一步建议</w:t>
      </w:r>
    </w:p>
    <w:p>
      <w:pPr>
        <w:pStyle w:val="ListBullet"/>
      </w:pPr>
      <w:r>
        <w:rPr>
          <w:rFonts w:ascii="宋体" w:hAnsi="宋体" w:eastAsia="宋体"/>
          <w:sz w:val="22"/>
        </w:rPr>
        <w:t>请环保局就上述第（一）项硬件配置标准予以确认，并据此推进终端采购与环境准备。</w:t>
      </w:r>
    </w:p>
    <w:p>
      <w:pPr>
        <w:pStyle w:val="ListBullet"/>
      </w:pPr>
      <w:r>
        <w:rPr>
          <w:rFonts w:ascii="宋体" w:hAnsi="宋体" w:eastAsia="宋体"/>
          <w:sz w:val="22"/>
        </w:rPr>
        <w:t>请环保局就第（二）项中的数据范围、来源及导入导出方式提供意见，我方将据此完成图文需求文档编制并提交评审。</w:t>
      </w:r>
    </w:p>
    <w:p>
      <w:pPr>
        <w:pStyle w:val="ListBullet"/>
      </w:pPr>
      <w:r>
        <w:rPr>
          <w:rFonts w:ascii="宋体" w:hAnsi="宋体" w:eastAsia="宋体"/>
          <w:sz w:val="22"/>
        </w:rPr>
        <w:t>请环保局就第（三）项事件处置归档与结案报告模块（含城运中心对接闭环）的字段、签章与归档要求予以确认，我方将据此补充需求规格说明书对应章节。</w:t>
      </w:r>
    </w:p>
    <w:p>
      <w:pPr>
        <w:pStyle w:val="ListBullet"/>
      </w:pPr>
      <w:r>
        <w:rPr>
          <w:rFonts w:ascii="宋体" w:hAnsi="宋体" w:eastAsia="宋体"/>
          <w:sz w:val="22"/>
        </w:rPr>
        <w:t>建议双方约定后续沟通时间，对三项事项形成书面确认，作为项目推进的基准；并协调城运中心（三级城运）明确事件推送与处置反馈接口规范。</w:t>
      </w:r>
    </w:p>
    <w:p>
      <w:r>
        <w:rPr>
          <w:rFonts w:ascii="宋体" w:hAnsi="宋体" w:eastAsia="宋体"/>
          <w:b w:val="0"/>
          <w:sz w:val="22"/>
        </w:rPr>
        <w:t>报送：环保局</w:t>
      </w:r>
    </w:p>
    <w:p>
      <w:r>
        <w:rPr>
          <w:rFonts w:ascii="宋体" w:hAnsi="宋体" w:eastAsia="宋体"/>
          <w:b w:val="0"/>
          <w:sz w:val="22"/>
        </w:rPr>
        <w:t>日期：2026年7月11日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