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汽车物流 WMS 仓库管理系统测试文档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2"/>
        </w:rPr>
        <w:t>测试范围、测试策略、测试用例、执行结果与风险说明</w:t>
      </w:r>
    </w:p>
    <w:p>
      <w:r>
        <w:t>项目名称：汽车物流 WMS 仓库管理系统</w:t>
      </w:r>
    </w:p>
    <w:p>
      <w:r>
        <w:t>适用对象：课程设计、项目答辩、开发交付、后续维护</w:t>
      </w:r>
    </w:p>
    <w:p>
      <w:r>
        <w:t>生成日期：2026-06-29</w:t>
      </w:r>
    </w:p>
    <w:p>
      <w:r>
        <w:br w:type="page"/>
      </w:r>
    </w:p>
    <w:p>
      <w:pPr>
        <w:pStyle w:val="Heading1"/>
      </w:pPr>
      <w:r>
        <w:t>一、测试目标</w:t>
      </w:r>
    </w:p>
    <w:p>
      <w:r>
        <w:t>本测试文档用于验证汽车物流 WMS 仓库管理系统是否满足需求分析和设计文档中的功能、权限、流程和运行环境要求。测试覆盖后端服务、PC 前端、移动端 H5、数据库初始化、核心业务流程和异常场景。</w:t>
      </w:r>
    </w:p>
    <w:p>
      <w:pPr>
        <w:pStyle w:val="Heading1"/>
      </w:pPr>
      <w:r>
        <w:t>二、测试范围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范围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测试内容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后端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编译、单元测试、集成测试、权限接口、转包事务、出入库流程、盘点流程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PC 前端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登录、菜单权限、转包入口、用户权限管理、页面构建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移动端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扫码页面构建、转包页面、封存/解封、入库/出库页面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数据库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schema.sql 可执行，关键表字段和索引满足业务需求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文档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需求分析、设计、测试文档是否能支撑学习和答辩</w:t>
            </w:r>
          </w:p>
        </w:tc>
      </w:tr>
    </w:tbl>
    <w:p/>
    <w:p>
      <w:pPr>
        <w:pStyle w:val="Heading1"/>
      </w:pPr>
      <w:r>
        <w:t>三、测试环境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环境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操作系统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Windows 11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后端 JDK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Microsoft JDK 21.0.8，路径 C:\Users\86139\.jdks\ms-21.0.8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Maven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3.9.10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PC 前端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Vue 3 + Vite + Element Plus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移动端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uni-app + Vue 3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数据库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MySQL，默认库名 wms_db</w:t>
            </w:r>
          </w:p>
        </w:tc>
      </w:tr>
    </w:tbl>
    <w:p/>
    <w:p>
      <w:pPr>
        <w:pStyle w:val="Heading1"/>
      </w:pPr>
      <w:r>
        <w:t>四、自动化/构建测试结果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编号</w:t>
            </w:r>
          </w:p>
        </w:tc>
        <w:tc>
          <w:tcPr>
            <w:tcW w:type="dxa" w:w="195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命令</w:t>
            </w:r>
          </w:p>
        </w:tc>
        <w:tc>
          <w:tcPr>
            <w:tcW w:type="dxa" w:w="195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预期结果</w:t>
            </w:r>
          </w:p>
        </w:tc>
        <w:tc>
          <w:tcPr>
            <w:tcW w:type="dxa" w:w="195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实际结果</w:t>
            </w:r>
          </w:p>
        </w:tc>
        <w:tc>
          <w:tcPr>
            <w:tcW w:type="dxa" w:w="195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结论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T-BE-001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cd backend; .\mvn-jdk21.ps1 test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后端编译通过，测试通过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Tests run: 76, Failures: 0, Errors: 0, Skipped: 2；BUILD SUCCESS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T-BE-002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cd backend; mvn test（默认 Java 24）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如环境兼容则通过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Lombok/JDK24 触发 TypeTag UNKNOWN 编译错误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不通过，要求使用 JDK21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T-FE-001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cd frontend; npm install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依赖安装完成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added 121 packages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T-FE-002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cd frontend; npm run build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PC 前端构建成功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vite build 成功，生成 dist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T-MO-001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cd mobile; npm run build:h5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移动端 H5 构建成功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DONE Build complete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T-GIT-001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git push origin dev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提交推送到 GitHub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网络连接 GitHub 443 失败，Connection reset / Could not connect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本地提交成功，远程推送待网络恢复</w:t>
            </w:r>
          </w:p>
        </w:tc>
      </w:tr>
    </w:tbl>
    <w:p/>
    <w:p>
      <w:pPr>
        <w:pStyle w:val="Heading1"/>
      </w:pPr>
      <w:r>
        <w:t>五、功能测试用例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编号</w:t>
            </w:r>
          </w:p>
        </w:tc>
        <w:tc>
          <w:tcPr>
            <w:tcW w:type="dxa" w:w="195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用例</w:t>
            </w:r>
          </w:p>
        </w:tc>
        <w:tc>
          <w:tcPr>
            <w:tcW w:type="dxa" w:w="195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操作步骤</w:t>
            </w:r>
          </w:p>
        </w:tc>
        <w:tc>
          <w:tcPr>
            <w:tcW w:type="dxa" w:w="195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预期结果</w:t>
            </w:r>
          </w:p>
        </w:tc>
        <w:tc>
          <w:tcPr>
            <w:tcW w:type="dxa" w:w="195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当前状态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F-001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登录成功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输入 admin/admin123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进入仪表盘，保存 Token 和用户信息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待手工复测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F-002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登录失败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输入错误密码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提示用户名或密码错误，不进入系统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待手工复测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F-003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管理员用户管理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admin 进入用户权限页面，新增 operator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新增成功，列表出现新用户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待手工复测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F-004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角色修改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将 operator 改为 manager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角色更新成功，重新登录后权限变化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待手工复测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F-005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账号禁用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禁用某用户后用该用户登录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登录失败，提示账号禁用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待手工复测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F-006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非管理员访问权限接口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manager/operator 调用 /api/admin/users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返回 403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待手工复测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F-007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入库单创建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选择供应商和物料，输入计划数量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生成入库单和明细，状态为未入库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待手工复测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F-008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扫码入库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扫描入库看板并确认数量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库存增加，入库单状态更新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待手工复测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F-009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出库单创建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选择物料并输入计划出库数量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生成出库单和明细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待手工复测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F-010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扫码出库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扫描可用看板进行出库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库存扣减，FIFO 分配记录生成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待手工复测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F-011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封存看板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选择已入库看板执行封存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看板 sealed=true，后续不可出库/转包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待手工复测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F-012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解封看板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对封存看板执行解封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看板恢复可操作状态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待手工复测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F-013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转包拆包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源看板已入库未封存，目标看板号留空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源数量减少，创建新目标看板、出库单、入库单、转包历史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后端测试覆盖，待页面复测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F-014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转包合包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填写已存在同物料目标看板号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源数量减少，目标数量增加，记录转包历史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后端测试覆盖，待页面复测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F-015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转包异常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源看板封存、数量超限、目标物料不一致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接口拒绝并返回明确错误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后端测试覆盖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F-016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盘点任务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创建任务并扫码录入实盘数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生成盘点明细，计算差异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后端测试覆盖，待页面复测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F-017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库存预警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配置低储/高储阈值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库存报表显示对应风险状态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待手工复测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F-018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审计日志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执行新增/修改/删除操作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audit_log 记录用户、动作、对象和详情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后端测试覆盖部分场景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F-019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 预警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访问 AI 预警或对话接口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返回库存分析或提示 API Key 配置问题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待配置真实 key 后复测</w:t>
            </w:r>
          </w:p>
        </w:tc>
      </w:tr>
      <w:tr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F-020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移动端转包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H5 打开转包页面，扫描/输入源看板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展示源看板和转包表单，执行后显示结果</w:t>
            </w:r>
          </w:p>
        </w:tc>
        <w:tc>
          <w:tcPr>
            <w:tcW w:type="dxa" w:w="1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构建通过，待真机/浏览器复测</w:t>
            </w:r>
          </w:p>
        </w:tc>
      </w:tr>
    </w:tbl>
    <w:p/>
    <w:p>
      <w:pPr>
        <w:pStyle w:val="Heading1"/>
      </w:pPr>
      <w:r>
        <w:t>六、接口测试重点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接口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测试点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 /api/auth/login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正确账号、错误密码、禁用账号、返回 Token 与 userInfo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 /api/auth/userInfo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携带 Token 返回当前用户；无 Token 返回 401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 /api/admin/users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admin 成功；manager/operator 返回 403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 /api/admin/users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用户名唯一、密码加密、角色白名单、默认启用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PUT /api/admin/users/{id}/role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只允许 admin/manager/operator，非法角色报错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PUT /api/admin/users/{id}/status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只允许 0/1，禁用后不能登录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 /api/transfer/kanbans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分页、物料筛选、供应商筛选，只返回可转包看板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 /api/transfer/execute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拆包、合包、并发扣减、异常校验、历史记录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 /api/transfer/history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分页、源看板筛选、目标看板筛选</w:t>
            </w:r>
          </w:p>
        </w:tc>
      </w:tr>
    </w:tbl>
    <w:p/>
    <w:p>
      <w:pPr>
        <w:pStyle w:val="Heading1"/>
      </w:pPr>
      <w:r>
        <w:t>七、缺陷与风险记录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风险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影响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处理建议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默认 Java 24 无法编译后端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开发者直接 mvn test 会失败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使用 backend/mvn-jdk21.ps1，或全局 JAVA_HOME 切换到 JDK 21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GitHub 推送失败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本地 commit 暂未同步远端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网络恢复后重新执行 git push origin dev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手机端未真机扫码验证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扫码体验可能与 H5 构建结果不同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使用真实扫码设备或手机浏览器进行现场复测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 API Key 为 placeholder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 对话可能无法真实调用 DeepSeek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在 application-local.yml 配置真实 Key，并避免提交到 Git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权限粒度仍是角色级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无法精确到按钮级或字段级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后续可设计 permission 表和 role_permission 表</w:t>
            </w:r>
          </w:p>
        </w:tc>
      </w:tr>
    </w:tbl>
    <w:p/>
    <w:p>
      <w:pPr>
        <w:pStyle w:val="Heading1"/>
      </w:pPr>
      <w:r>
        <w:t>八、测试结论</w:t>
      </w:r>
    </w:p>
    <w:p>
      <w:r>
        <w:t>当前项目在 JDK 21 环境下后端测试通过，PC 前端和移动端均可构建。核心业务模块具备演示和答辩基础，转包、权限管理和 JDK 运行问题已经完成关键修复。后续重点是进行完整手工联调、真机扫码测试、远程推送恢复以及权限粒度细化。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