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IM652/24IG001844</w:t>
      </w:r>
    </w:p>
    <w:p>
      <w:r>
        <w:rPr>
          <w:b/>
        </w:rPr>
        <w:t xml:space="preserve">Name: </w:t>
      </w:r>
      <w:r>
        <w:t>CHEUNG HO YIN</w:t>
      </w:r>
    </w:p>
    <w:p>
      <w:r>
        <w:rPr>
          <w:b/>
        </w:rPr>
        <w:t xml:space="preserve">HKID: </w:t>
      </w:r>
      <w:r>
        <w:t>M4426709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M</w:t>
      </w:r>
    </w:p>
    <w:p>
      <w:r>
        <w:rPr>
          <w:b/>
        </w:rPr>
        <w:t xml:space="preserve">Age: </w:t>
      </w:r>
      <w:r>
        <w:t>20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21/11/2024</w:t>
      </w:r>
    </w:p>
    <w:p>
      <w:r>
        <w:rPr>
          <w:b/>
        </w:rPr>
        <w:t xml:space="preserve">Specimen Arrived: </w:t>
      </w:r>
      <w:r>
        <w:t>21/11/2024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Acute hepatitis of unknown cause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No disease-causing variant detected to fully account for the patient's phenotype.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