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i w:val="false"/>
          <w:iCs w:val="false"/>
          <w:color w:val="1B3A5C"/>
          <w:sz w:val="72"/>
          <w:szCs w:val="72"/>
        </w:rPr>
        <w:t xml:space="preserve">AGT-SS</w:t>
      </w:r>
    </w:p>
    <w:p>
      <w:pPr>
        <w:spacing w:after="160" w:before="0"/>
        <w:jc w:val="center"/>
      </w:pPr>
      <w:r>
        <w:rPr>
          <w:rFonts w:ascii="Arial" w:cs="Arial" w:eastAsia="Arial" w:hAnsi="Arial"/>
          <w:b/>
          <w:bCs/>
          <w:i w:val="false"/>
          <w:iCs w:val="false"/>
          <w:color w:val="2E6DA4"/>
          <w:sz w:val="30"/>
          <w:szCs w:val="30"/>
        </w:rPr>
        <w:t xml:space="preserve">Strategic Sourcing &amp; Procurement Agent</w:t>
      </w:r>
    </w:p>
    <w:p>
      <w:pPr>
        <w:pBdr>
          <w:bottom w:val="single" w:color="2E6DA4" w:sz="12" w:space="8"/>
        </w:pBdr>
        <w:spacing w:after="320" w:before="0"/>
        <w:jc w:val="center"/>
      </w:pPr>
      <w:r>
        <w:rPr>
          <w:rFonts w:ascii="Arial" w:cs="Arial" w:eastAsia="Arial" w:hAnsi="Arial"/>
          <w:b w:val="false"/>
          <w:bCs w:val="false"/>
          <w:i w:val="false"/>
          <w:iCs w:val="false"/>
          <w:color w:val="4A90C4"/>
          <w:sz w:val="28"/>
          <w:szCs w:val="28"/>
        </w:rPr>
        <w:t xml:space="preserve">Specification Engineering Document</w:t>
      </w:r>
    </w:p>
    <w:p>
      <w:pPr>
        <w:spacing w:after="0" w:before="0"/>
      </w:pPr>
      <w:r>
        <w:t xml:space="preserve"/>
      </w:r>
    </w:p>
    <w:p>
      <w:pPr>
        <w:spacing w:after="0" w:before="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tblGrid>
      <w:tr>
        <w:tc>
          <w:tcPr>
            <w:tcW w:type="dxa" w:w="21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Document ID</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AGT-SS-SPEC-001</w:t>
            </w:r>
          </w:p>
        </w:tc>
      </w:tr>
      <w:tr>
        <w:tc>
          <w:tcPr>
            <w:tcW w:type="dxa" w:w="21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Version</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1.0.0</w:t>
            </w:r>
          </w:p>
        </w:tc>
      </w:tr>
      <w:tr>
        <w:tc>
          <w:tcPr>
            <w:tcW w:type="dxa" w:w="21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Status</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Released</w:t>
            </w:r>
          </w:p>
        </w:tc>
      </w:tr>
      <w:tr>
        <w:tc>
          <w:tcPr>
            <w:tcW w:type="dxa" w:w="21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Date</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April 2026</w:t>
            </w:r>
          </w:p>
        </w:tc>
      </w:tr>
      <w:tr>
        <w:tc>
          <w:tcPr>
            <w:tcW w:type="dxa" w:w="21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Author</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COCOM Group — Technology</w:t>
            </w:r>
          </w:p>
        </w:tc>
      </w:tr>
      <w:tr>
        <w:tc>
          <w:tcPr>
            <w:tcW w:type="dxa" w:w="21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Classification</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Confidential — Internal Use Only</w:t>
            </w:r>
          </w:p>
        </w:tc>
      </w:tr>
    </w:tbl>
    <w:p>
      <w:pPr>
        <w:spacing w:after="0" w:before="0"/>
      </w:pPr>
      <w:r>
        <w:t xml:space="preserve"/>
      </w:r>
    </w:p>
    <w:p>
      <w:pPr>
        <w:spacing w:after="0" w:before="0"/>
      </w:pPr>
      <w:r>
        <w:t xml:space="preserve"/>
      </w:r>
    </w:p>
    <w:p>
      <w:pPr>
        <w:spacing w:after="0" w:before="0"/>
      </w:pPr>
      <w:r>
        <w:br w:type="page"/>
      </w:r>
    </w:p>
    <w:p>
      <w:pPr>
        <w:pStyle w:val="Heading1"/>
        <w:spacing w:after="160" w:before="360"/>
      </w:pPr>
      <w:r>
        <w:rPr>
          <w:rFonts w:ascii="Arial" w:cs="Arial" w:eastAsia="Arial" w:hAnsi="Arial"/>
          <w:b/>
          <w:bCs/>
          <w:i w:val="false"/>
          <w:iCs w:val="false"/>
          <w:color w:val="1B3A5C"/>
          <w:sz w:val="30"/>
          <w:szCs w:val="30"/>
        </w:rPr>
        <w:t xml:space="preserve">1. Introduction</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1.1 Purpose</w:t>
      </w:r>
    </w:p>
    <w:p>
      <w:pPr>
        <w:spacing w:after="80" w:before="80"/>
        <w:jc w:val="left"/>
      </w:pPr>
      <w:r>
        <w:rPr>
          <w:rFonts w:ascii="Arial" w:cs="Arial" w:eastAsia="Arial" w:hAnsi="Arial"/>
          <w:b w:val="false"/>
          <w:bCs w:val="false"/>
          <w:i w:val="false"/>
          <w:iCs w:val="false"/>
          <w:color w:val="2C2C2C"/>
          <w:sz w:val="20"/>
          <w:szCs w:val="20"/>
        </w:rPr>
        <w:t xml:space="preserve">This Specification Engineering Document (SED) defines the complete technical and functional architecture of AGT-SS, the Strategic Sourcing &amp; Procurement multi-agent system. It serves as the authoritative reference for system design, inter-agent contracts, data schemas, integration points, and operational requirements.</w:t>
      </w:r>
    </w:p>
    <w:p>
      <w:pPr>
        <w:spacing w:after="80" w:before="80"/>
        <w:jc w:val="left"/>
      </w:pPr>
      <w:r>
        <w:rPr>
          <w:rFonts w:ascii="Arial" w:cs="Arial" w:eastAsia="Arial" w:hAnsi="Arial"/>
          <w:b w:val="false"/>
          <w:bCs w:val="false"/>
          <w:i w:val="false"/>
          <w:iCs w:val="false"/>
          <w:color w:val="2C2C2C"/>
          <w:sz w:val="20"/>
          <w:szCs w:val="20"/>
        </w:rPr>
        <w:t xml:space="preserve">AGT-SS automates the full strategic sourcing lifecycle — from spend analysis and category strategy through sourcing event execution, contract negotiation, supplier onboarding, and procurement analytics — reducing total cost of ownership while building a more resilient supply base.</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1.2 Scope</w:t>
      </w:r>
    </w:p>
    <w:p>
      <w:pPr>
        <w:spacing w:after="80" w:before="80"/>
        <w:jc w:val="left"/>
      </w:pPr>
      <w:r>
        <w:rPr>
          <w:rFonts w:ascii="Arial" w:cs="Arial" w:eastAsia="Arial" w:hAnsi="Arial"/>
          <w:b w:val="false"/>
          <w:bCs w:val="false"/>
          <w:i w:val="false"/>
          <w:iCs w:val="false"/>
          <w:color w:val="2C2C2C"/>
          <w:sz w:val="20"/>
          <w:szCs w:val="20"/>
        </w:rPr>
        <w:t xml:space="preserve">AGT-SS covers 18 procurement processes across five functional domains:</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Spend analysis, UNSPSC classification, Kraljic matrix, tail spend, and make-vs-buy analysis</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Supply market intelligence, total landed cost modelling, and ASL management</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RFI, RFQ, RFP, and reverse auction execution with TCO-based bid evaluation</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Negotiation strategy, contract drafting, supplier onboarding, and sustainability compliance</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PPV tracking, savings pipeline, contract coverage heatmap, and maturity roadmap</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1.3 Audience</w:t>
      </w:r>
    </w:p>
    <w:p>
      <w:pPr>
        <w:spacing w:after="80" w:before="80"/>
        <w:jc w:val="left"/>
      </w:pPr>
      <w:r>
        <w:rPr>
          <w:rFonts w:ascii="Arial" w:cs="Arial" w:eastAsia="Arial" w:hAnsi="Arial"/>
          <w:b w:val="false"/>
          <w:bCs w:val="false"/>
          <w:i w:val="false"/>
          <w:iCs w:val="false"/>
          <w:color w:val="2C2C2C"/>
          <w:sz w:val="20"/>
          <w:szCs w:val="20"/>
        </w:rPr>
        <w:t xml:space="preserve">This document is intended for: software engineers implementing or extending the system, data engineers configuring Aurora PostgreSQL schemas, procurement operations staff using the system outputs, and technology leadership reviewing the architecture.</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1.4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Document</w:t>
            </w:r>
          </w:p>
        </w:tc>
        <w:tc>
          <w:tcPr>
            <w:tcW w:type="dxa" w:w="30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ID</w:t>
            </w:r>
          </w:p>
        </w:tc>
        <w:tc>
          <w:tcPr>
            <w:tcW w:type="dxa" w:w="28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Status</w:t>
            </w:r>
          </w:p>
        </w:tc>
      </w:tr>
      <w:tr>
        <w:tc>
          <w:tcPr>
            <w:tcW w:type="dxa" w:w="35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Module Architecture &amp; Specification</w:t>
            </w:r>
          </w:p>
        </w:tc>
        <w:tc>
          <w:tcPr>
            <w:tcW w:type="dxa" w:w="30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AGT-SS-ARCH-001</w:t>
            </w:r>
          </w:p>
        </w:tc>
        <w:tc>
          <w:tcPr>
            <w:tcW w:type="dxa" w:w="28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Released</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Orchestrator Implementation Guide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AGT-SS-IMPL-001</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Released</w:t>
            </w:r>
          </w:p>
        </w:tc>
      </w:tr>
      <w:tr>
        <w:tc>
          <w:tcPr>
            <w:tcW w:type="dxa" w:w="35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Sub-Agent Implementation Guide</w:t>
            </w:r>
          </w:p>
        </w:tc>
        <w:tc>
          <w:tcPr>
            <w:tcW w:type="dxa" w:w="30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AGT-SS-IMPL-002</w:t>
            </w:r>
          </w:p>
        </w:tc>
        <w:tc>
          <w:tcPr>
            <w:tcW w:type="dxa" w:w="28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Released</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COCOM AWS Platform Guide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COCOM-PLAT-001</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Active</w:t>
            </w:r>
          </w:p>
        </w:tc>
      </w:tr>
    </w:tbl>
    <w:p>
      <w:pPr>
        <w:spacing w:after="0" w:before="0"/>
      </w:pPr>
      <w:r>
        <w:t xml:space="preserve"/>
      </w:r>
    </w:p>
    <w:p>
      <w:pPr>
        <w:spacing w:after="0" w:before="0"/>
      </w:pPr>
      <w:r>
        <w:br w:type="page"/>
      </w:r>
    </w:p>
    <w:p>
      <w:pPr>
        <w:pStyle w:val="Heading1"/>
        <w:spacing w:after="160" w:before="360"/>
      </w:pPr>
      <w:r>
        <w:rPr>
          <w:rFonts w:ascii="Arial" w:cs="Arial" w:eastAsia="Arial" w:hAnsi="Arial"/>
          <w:b/>
          <w:bCs/>
          <w:i w:val="false"/>
          <w:iCs w:val="false"/>
          <w:color w:val="1B3A5C"/>
          <w:sz w:val="30"/>
          <w:szCs w:val="30"/>
        </w:rPr>
        <w:t xml:space="preserve">2. System Overview</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2.1 System Context</w:t>
      </w:r>
    </w:p>
    <w:p>
      <w:pPr>
        <w:spacing w:after="80" w:before="80"/>
        <w:jc w:val="left"/>
      </w:pPr>
      <w:r>
        <w:rPr>
          <w:rFonts w:ascii="Arial" w:cs="Arial" w:eastAsia="Arial" w:hAnsi="Arial"/>
          <w:b w:val="false"/>
          <w:bCs w:val="false"/>
          <w:i w:val="false"/>
          <w:iCs w:val="false"/>
          <w:color w:val="2C2C2C"/>
          <w:sz w:val="20"/>
          <w:szCs w:val="20"/>
        </w:rPr>
        <w:t xml:space="preserve">AGT-SS operates within the COCOM Group technology ecosystem on AWS. It consumes structured data from SAP and AMOS enterprise systems, executes sourcing workflows through a LangGraph-based multi-agent graph, persists state to Amazon Aurora PostgreSQL, and surfaces outputs through an existing FastAPI service layer on AWS ECS (Elastic Container Service).</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2.2 Design Principles</w:t>
      </w:r>
    </w:p>
    <w:p>
      <w:pPr>
        <w:spacing w:after="80" w:before="80"/>
        <w:jc w:val="left"/>
      </w:pPr>
      <w:r>
        <w:rPr>
          <w:rFonts w:ascii="Arial" w:cs="Arial" w:eastAsia="Arial" w:hAnsi="Arial"/>
          <w:b w:val="false"/>
          <w:bCs w:val="false"/>
          <w:i w:val="false"/>
          <w:iCs w:val="false"/>
          <w:color w:val="2C2C2C"/>
          <w:sz w:val="20"/>
          <w:szCs w:val="20"/>
        </w:rPr>
        <w:t xml:space="preserve">The following principles govern all design decisions in AGT-SS: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Principle</w:t>
            </w:r>
          </w:p>
        </w:tc>
        <w:tc>
          <w:tcPr>
            <w:tcW w:type="dxa" w:w="69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Statement</w:t>
            </w:r>
          </w:p>
        </w:tc>
      </w:tr>
      <w:tr>
        <w:tc>
          <w:tcPr>
            <w:tcW w:type="dxa" w:w="24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Determinism first</w:t>
            </w:r>
          </w:p>
        </w:tc>
        <w:tc>
          <w:tcPr>
            <w:tcW w:type="dxa" w:w="6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All financial computations (TCO, PPV, Kraljic scoring, landed cost) are deterministic Python — LLM is used only for reasoning and prose, never for arithmetic.</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State immutability</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Agents return partial dicts merged by the orchestrator. No agent mutates shared state in place.</w:t>
            </w:r>
          </w:p>
        </w:tc>
      </w:tr>
      <w:tr>
        <w:tc>
          <w:tcPr>
            <w:tcW w:type="dxa" w:w="24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Graceful degradation</w:t>
            </w:r>
          </w:p>
        </w:tc>
        <w:tc>
          <w:tcPr>
            <w:tcW w:type="dxa" w:w="6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Every LLM call has a fallback path. If the LLM is unavailable, the agent produces a structurally complete output using heuristics or defaults.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Human-in-the-loop</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Three mandatory checkpoint gates block progression until a human approves the decision. The system cannot self-award contracts.</w:t>
            </w:r>
          </w:p>
        </w:tc>
      </w:tr>
      <w:tr>
        <w:tc>
          <w:tcPr>
            <w:tcW w:type="dxa" w:w="24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Dead-letter safety</w:t>
            </w:r>
          </w:p>
        </w:tc>
        <w:tc>
          <w:tcPr>
            <w:tcW w:type="dxa" w:w="6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After three retries, failed agent tool calls are written to a dead-letter table and the workflow transitions to DEAD_LETTER rather than silently failing.</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Audit completeness</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Every agent action is logged with timestamp, agent name, action type, and detail before the state is checkpointed to Aurora PostgreSQL.</w:t>
            </w:r>
          </w:p>
        </w:tc>
      </w:tr>
      <w:tr>
        <w:tc>
          <w:tcPr>
            <w:tcW w:type="dxa" w:w="24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Dependency ordering</w:t>
            </w:r>
          </w:p>
        </w:tc>
        <w:tc>
          <w:tcPr>
            <w:tcW w:type="dxa" w:w="6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Agents declare their own preconditions via can_run(). The orchestrator resolves execution order at runtime — no hardcoded sequence.</w:t>
            </w:r>
          </w:p>
        </w:tc>
      </w:tr>
    </w:tbl>
    <w:p>
      <w:pPr>
        <w:spacing w:after="0" w:before="0"/>
      </w:pPr>
      <w:r>
        <w:t xml:space="preserve"/>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Layer</w:t>
            </w:r>
          </w:p>
        </w:tc>
        <w:tc>
          <w:tcPr>
            <w:tcW w:type="dxa" w:w="30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Technology</w:t>
            </w:r>
          </w:p>
        </w:tc>
        <w:tc>
          <w:tcPr>
            <w:tcW w:type="dxa" w:w="37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Purpose</w:t>
            </w:r>
          </w:p>
        </w:tc>
      </w:tr>
      <w:tr>
        <w:tc>
          <w:tcPr>
            <w:tcW w:type="dxa" w:w="2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Orchestration</w:t>
            </w:r>
          </w:p>
        </w:tc>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LangGraph (StateGraph)</w:t>
            </w:r>
          </w:p>
        </w:tc>
        <w:tc>
          <w:tcPr>
            <w:tcW w:type="dxa" w:w="37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Agent graph execution and conditional routing</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LLM reasoning</w:t>
            </w:r>
          </w:p>
        </w:tc>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Anthropic claude-sonnet-4-20250514</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Strategy briefs, classification, rationale generation</w:t>
            </w:r>
          </w:p>
        </w:tc>
      </w:tr>
      <w:tr>
        <w:tc>
          <w:tcPr>
            <w:tcW w:type="dxa" w:w="2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Compute platform</w:t>
            </w:r>
          </w:p>
        </w:tc>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AWS ECS on EC2 (GPU instances)</w:t>
            </w:r>
          </w:p>
        </w:tc>
        <w:tc>
          <w:tcPr>
            <w:tcW w:type="dxa" w:w="37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Notebook execution and model serving</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State persistence</w:t>
            </w:r>
          </w:p>
        </w:tc>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Amazon Aurora PostgreSQL</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Workflow checkpoints, dead-letter, ASL, contracts</w:t>
            </w:r>
          </w:p>
        </w:tc>
      </w:tr>
      <w:tr>
        <w:tc>
          <w:tcPr>
            <w:tcW w:type="dxa" w:w="2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ERP integration</w:t>
            </w:r>
          </w:p>
        </w:tc>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SAP (MCP / REST)</w:t>
            </w:r>
          </w:p>
        </w:tc>
        <w:tc>
          <w:tcPr>
            <w:tcW w:type="dxa" w:w="37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Spend extract, PO data, vendor master</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MRO integration</w:t>
            </w:r>
          </w:p>
        </w:tc>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AMOS</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Component and BOM data for direct materials</w:t>
            </w:r>
          </w:p>
        </w:tc>
      </w:tr>
      <w:tr>
        <w:tc>
          <w:tcPr>
            <w:tcW w:type="dxa" w:w="2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Service layer</w:t>
            </w:r>
          </w:p>
        </w:tc>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FastAPI on AWS ECS</w:t>
            </w:r>
          </w:p>
        </w:tc>
        <w:tc>
          <w:tcPr>
            <w:tcW w:type="dxa" w:w="37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Human checkpoint gateway, workflow trigger API</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Local LLM fallback</w:t>
            </w:r>
          </w:p>
        </w:tc>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Amazon Bedrock (fallback)</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On-cluster inference when Anthropic API unavailable</w:t>
            </w:r>
          </w:p>
        </w:tc>
      </w:tr>
      <w:tr>
        <w:tc>
          <w:tcPr>
            <w:tcW w:type="dxa" w:w="2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Secret management</w:t>
            </w:r>
          </w:p>
        </w:tc>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AWS Secrets Manager</w:t>
            </w:r>
          </w:p>
        </w:tc>
        <w:tc>
          <w:tcPr>
            <w:tcW w:type="dxa" w:w="37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API keys, SAP credentials, EDI certificates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Runtime language</w:t>
            </w:r>
          </w:p>
        </w:tc>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Python 3.12</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All agent and orchestrator code</w:t>
            </w:r>
          </w:p>
        </w:tc>
      </w:tr>
    </w:tbl>
    <w:p>
      <w:pPr>
        <w:spacing w:after="0" w:before="0"/>
      </w:pPr>
      <w:r>
        <w:t xml:space="preserve"/>
      </w:r>
    </w:p>
    <w:p>
      <w:pPr>
        <w:spacing w:after="0" w:before="0"/>
      </w:pPr>
      <w:r>
        <w:br w:type="page"/>
      </w:r>
    </w:p>
    <w:p>
      <w:pPr>
        <w:pStyle w:val="Heading1"/>
        <w:spacing w:after="160" w:before="360"/>
      </w:pPr>
      <w:r>
        <w:rPr>
          <w:rFonts w:ascii="Arial" w:cs="Arial" w:eastAsia="Arial" w:hAnsi="Arial"/>
          <w:b/>
          <w:bCs/>
          <w:i w:val="false"/>
          <w:iCs w:val="false"/>
          <w:color w:val="1B3A5C"/>
          <w:sz w:val="30"/>
          <w:szCs w:val="30"/>
        </w:rPr>
        <w:t xml:space="preserve">3. Agent Specifications</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3.1 Orchestrator (AGT-SS-ORCH)</w:t>
      </w:r>
    </w:p>
    <w:p>
      <w:pPr>
        <w:pStyle w:val="Heading3"/>
        <w:spacing w:after="80" w:before="200"/>
      </w:pPr>
      <w:r>
        <w:rPr>
          <w:rFonts w:ascii="Arial" w:cs="Arial" w:eastAsia="Arial" w:hAnsi="Arial"/>
          <w:b/>
          <w:bCs/>
          <w:i w:val="false"/>
          <w:iCs w:val="false"/>
          <w:color w:val="4A90C4"/>
          <w:sz w:val="22"/>
          <w:szCs w:val="22"/>
        </w:rPr>
        <w:t xml:space="preserve">3.1.1 Responsibility</w:t>
      </w:r>
    </w:p>
    <w:p>
      <w:pPr>
        <w:spacing w:after="80" w:before="80"/>
        <w:jc w:val="left"/>
      </w:pPr>
      <w:r>
        <w:rPr>
          <w:rFonts w:ascii="Arial" w:cs="Arial" w:eastAsia="Arial" w:hAnsi="Arial"/>
          <w:b w:val="false"/>
          <w:bCs w:val="false"/>
          <w:i w:val="false"/>
          <w:iCs w:val="false"/>
          <w:color w:val="2C2C2C"/>
          <w:sz w:val="20"/>
          <w:szCs w:val="20"/>
        </w:rPr>
        <w:t xml:space="preserve">The orchestrator is the sole entry point for all workflow execution. It owns: goal decomposition into a task graph, supervisor routing between agents, human checkpoint gate enforcement, dead-letter escalation, and final output assembly.</w:t>
      </w:r>
    </w:p>
    <w:p>
      <w:pPr>
        <w:pStyle w:val="Heading3"/>
        <w:spacing w:after="80" w:before="200"/>
      </w:pPr>
      <w:r>
        <w:rPr>
          <w:rFonts w:ascii="Arial" w:cs="Arial" w:eastAsia="Arial" w:hAnsi="Arial"/>
          <w:b/>
          <w:bCs/>
          <w:i w:val="false"/>
          <w:iCs w:val="false"/>
          <w:color w:val="4A90C4"/>
          <w:sz w:val="22"/>
          <w:szCs w:val="22"/>
        </w:rPr>
        <w:t xml:space="preserve">3.1.2 Node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Node</w:t>
            </w:r>
          </w:p>
        </w:tc>
        <w:tc>
          <w:tcPr>
            <w:tcW w:type="dxa" w:w="22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Type</w:t>
            </w:r>
          </w:p>
        </w:tc>
        <w:tc>
          <w:tcPr>
            <w:tcW w:type="dxa" w:w="49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Description</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intake</w:t>
            </w:r>
          </w:p>
        </w:tc>
        <w:tc>
          <w:tcPr>
            <w:tcW w:type="dxa" w:w="2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Entry</w:t>
            </w:r>
          </w:p>
        </w:tc>
        <w:tc>
          <w:tcPr>
            <w:tcW w:type="dxa" w:w="4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Validates goal, builds task graph, transitions to RUNNING</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supervisor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Router</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Resolves next agent via can_run() dependency checks; enforces iteration limit (50)</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spend_category</w:t>
            </w:r>
          </w:p>
        </w:tc>
        <w:tc>
          <w:tcPr>
            <w:tcW w:type="dxa" w:w="2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Agent node</w:t>
            </w:r>
          </w:p>
        </w:tc>
        <w:tc>
          <w:tcPr>
            <w:tcW w:type="dxa" w:w="4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Delegates to SpendCategoryAgent</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supplier_market</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Agent node</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Delegates to SupplierMarketAgent</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sourcing_execution</w:t>
            </w:r>
          </w:p>
        </w:tc>
        <w:tc>
          <w:tcPr>
            <w:tcW w:type="dxa" w:w="2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Agent node</w:t>
            </w:r>
          </w:p>
        </w:tc>
        <w:tc>
          <w:tcPr>
            <w:tcW w:type="dxa" w:w="4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Delegates to SourcingExecutionAgent; raises CATEGORY_STRATEGY_APPROVAL gate</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contract_supplier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Agent node</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Raises NEGOTIATION_STRATEGY_APPROVAL; delegates; raises CONTRACT_AWARD_APPROVAL</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analytics_governance</w:t>
            </w:r>
          </w:p>
        </w:tc>
        <w:tc>
          <w:tcPr>
            <w:tcW w:type="dxa" w:w="2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Agent node</w:t>
            </w:r>
          </w:p>
        </w:tc>
        <w:tc>
          <w:tcPr>
            <w:tcW w:type="dxa" w:w="4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Delegates to AnalyticsGovernanceAgent; can run standalone</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finalize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Terminal</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Assembles final_output dict, transitions to COMPLETED</w:t>
            </w:r>
          </w:p>
        </w:tc>
      </w:tr>
    </w:tbl>
    <w:p>
      <w:pPr>
        <w:spacing w:after="0" w:before="0"/>
      </w:pPr>
      <w:r>
        <w:t xml:space="preserve"/>
      </w:r>
    </w:p>
    <w:p>
      <w:pPr>
        <w:pStyle w:val="Heading3"/>
        <w:spacing w:after="80" w:before="200"/>
      </w:pPr>
      <w:r>
        <w:rPr>
          <w:rFonts w:ascii="Arial" w:cs="Arial" w:eastAsia="Arial" w:hAnsi="Arial"/>
          <w:b/>
          <w:bCs/>
          <w:i w:val="false"/>
          <w:iCs w:val="false"/>
          <w:color w:val="4A90C4"/>
          <w:sz w:val="22"/>
          <w:szCs w:val="22"/>
        </w:rPr>
        <w:t xml:space="preserve">3.1.3 Human Checkpoint Gates</w:t>
      </w:r>
    </w:p>
    <w:p>
      <w:pPr>
        <w:spacing w:after="80" w:before="80"/>
        <w:jc w:val="left"/>
      </w:pPr>
      <w:r>
        <w:rPr>
          <w:rFonts w:ascii="Arial" w:cs="Arial" w:eastAsia="Arial" w:hAnsi="Arial"/>
          <w:b w:val="false"/>
          <w:bCs w:val="false"/>
          <w:i w:val="false"/>
          <w:iCs w:val="false"/>
          <w:color w:val="2C2C2C"/>
          <w:sz w:val="20"/>
          <w:szCs w:val="20"/>
        </w:rPr>
        <w:t xml:space="preserve">Three blocking gates are enforced in sequence. A workflow in AWAITING_HUMAN status cannot progress until resume_workflow() is called with an approval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Gate</w:t>
            </w:r>
          </w:p>
        </w:tc>
        <w:tc>
          <w:tcPr>
            <w:tcW w:type="dxa" w:w="22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Raised after</w:t>
            </w:r>
          </w:p>
        </w:tc>
        <w:tc>
          <w:tcPr>
            <w:tcW w:type="dxa" w:w="37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Blocks</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CATEGORY_STRATEGY_APPROVAL</w:t>
            </w:r>
          </w:p>
        </w:tc>
        <w:tc>
          <w:tcPr>
            <w:tcW w:type="dxa" w:w="2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sourcing_execution node</w:t>
            </w:r>
          </w:p>
        </w:tc>
        <w:tc>
          <w:tcPr>
            <w:tcW w:type="dxa" w:w="37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Progression to contract_supplier node</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NEGOTIATION_STRATEGY_APPROVAL</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contract_supplier entry</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Contract drafting and execution</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CONTRACT_AWARD_APPROVAL</w:t>
            </w:r>
          </w:p>
        </w:tc>
        <w:tc>
          <w:tcPr>
            <w:tcW w:type="dxa" w:w="2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contract draft complete</w:t>
            </w:r>
          </w:p>
        </w:tc>
        <w:tc>
          <w:tcPr>
            <w:tcW w:type="dxa" w:w="37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Supplier onboarding and sustainability</w:t>
            </w:r>
          </w:p>
        </w:tc>
      </w:tr>
    </w:tbl>
    <w:p>
      <w:pPr>
        <w:spacing w:after="0" w:before="0"/>
      </w:pPr>
      <w:r>
        <w:t xml:space="preserve"/>
      </w:r>
    </w:p>
    <w:p>
      <w:pPr>
        <w:pStyle w:val="Heading3"/>
        <w:spacing w:after="80" w:before="200"/>
      </w:pPr>
      <w:r>
        <w:rPr>
          <w:rFonts w:ascii="Arial" w:cs="Arial" w:eastAsia="Arial" w:hAnsi="Arial"/>
          <w:b/>
          <w:bCs/>
          <w:i w:val="false"/>
          <w:iCs w:val="false"/>
          <w:color w:val="4A90C4"/>
          <w:sz w:val="22"/>
          <w:szCs w:val="22"/>
        </w:rPr>
        <w:t xml:space="preserve">3.1.4 Routing Logic</w:t>
      </w:r>
    </w:p>
    <w:p>
      <w:pPr>
        <w:spacing w:after="80" w:before="80"/>
        <w:jc w:val="left"/>
      </w:pPr>
      <w:r>
        <w:rPr>
          <w:rFonts w:ascii="Arial" w:cs="Arial" w:eastAsia="Arial" w:hAnsi="Arial"/>
          <w:b w:val="false"/>
          <w:bCs w:val="false"/>
          <w:i w:val="false"/>
          <w:iCs w:val="false"/>
          <w:color w:val="2C2C2C"/>
          <w:sz w:val="20"/>
          <w:szCs w:val="20"/>
        </w:rPr>
        <w:t xml:space="preserve">The supervisor node calls _route(state) which iterates agents in priority order and returns the first whose can_run() returns True. If all agents have produced non-empty output, the router returns 'finalize'. If the iteration count exceeds 50, the workflow transitions to FAILED with escalation_required = True.</w:t>
      </w:r>
    </w:p>
    <w:p>
      <w:pPr>
        <w:spacing w:after="0" w:before="0"/>
      </w:pPr>
      <w:r>
        <w:t xml:space="preserve"/>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3.2 SpendCategoryAgent (AGT-SS-SCA)</w:t>
      </w:r>
    </w:p>
    <w:p>
      <w:pPr>
        <w:pStyle w:val="Heading3"/>
        <w:spacing w:after="80" w:before="200"/>
      </w:pPr>
      <w:r>
        <w:rPr>
          <w:rFonts w:ascii="Arial" w:cs="Arial" w:eastAsia="Arial" w:hAnsi="Arial"/>
          <w:b/>
          <w:bCs/>
          <w:i w:val="false"/>
          <w:iCs w:val="false"/>
          <w:color w:val="4A90C4"/>
          <w:sz w:val="22"/>
          <w:szCs w:val="22"/>
        </w:rPr>
        <w:t xml:space="preserve">3.2.1 Processes Owned</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Spend analysis and classification (UNSPSC taxonomy, LLM batch classification)</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Category strategy development (Kraljic matrix scoring and strategy document generation)</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Tail spend management (Pareto analysis, maverick buying detection, P-card candidates)</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Make-vs-buy analysis (cost delta computation and LLM qualitative assessment)</w:t>
      </w:r>
    </w:p>
    <w:p>
      <w:pPr>
        <w:pStyle w:val="Heading3"/>
        <w:spacing w:after="80" w:before="200"/>
      </w:pPr>
      <w:r>
        <w:rPr>
          <w:rFonts w:ascii="Arial" w:cs="Arial" w:eastAsia="Arial" w:hAnsi="Arial"/>
          <w:b/>
          <w:bCs/>
          <w:i w:val="false"/>
          <w:iCs w:val="false"/>
          <w:color w:val="4A90C4"/>
          <w:sz w:val="22"/>
          <w:szCs w:val="22"/>
        </w:rPr>
        <w:t xml:space="preserve">3.2.2 Preconditions</w:t>
      </w:r>
    </w:p>
    <w:p>
      <w:pPr>
        <w:spacing w:after="80" w:before="80"/>
        <w:jc w:val="left"/>
      </w:pPr>
      <w:r>
        <w:rPr>
          <w:rFonts w:ascii="Arial" w:cs="Arial" w:eastAsia="Arial" w:hAnsi="Arial"/>
          <w:b w:val="false"/>
          <w:bCs w:val="false"/>
          <w:i w:val="false"/>
          <w:iCs w:val="false"/>
          <w:color w:val="2C2C2C"/>
          <w:sz w:val="20"/>
          <w:szCs w:val="20"/>
        </w:rPr>
        <w:t xml:space="preserve">can_run() returns True when state.goal is non-empty. No upstream agent dependencies.</w:t>
      </w:r>
    </w:p>
    <w:p>
      <w:pPr>
        <w:pStyle w:val="Heading3"/>
        <w:spacing w:after="80" w:before="200"/>
      </w:pPr>
      <w:r>
        <w:rPr>
          <w:rFonts w:ascii="Arial" w:cs="Arial" w:eastAsia="Arial" w:hAnsi="Arial"/>
          <w:b/>
          <w:bCs/>
          <w:i w:val="false"/>
          <w:iCs w:val="false"/>
          <w:color w:val="4A90C4"/>
          <w:sz w:val="22"/>
          <w:szCs w:val="22"/>
        </w:rPr>
        <w:t xml:space="preserve">3.2.3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Field</w:t>
            </w:r>
          </w:p>
        </w:tc>
        <w:tc>
          <w:tcPr>
            <w:tcW w:type="dxa" w:w="20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Source</w:t>
            </w:r>
          </w:p>
        </w:tc>
        <w:tc>
          <w:tcPr>
            <w:tcW w:type="dxa" w:w="45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state.context.spend_data</w:t>
            </w:r>
          </w:p>
        </w:tc>
        <w:tc>
          <w:tcPr>
            <w:tcW w:type="dxa" w:w="20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Caller / SAP</w:t>
            </w:r>
          </w:p>
        </w:tc>
        <w:tc>
          <w:tcPr>
            <w:tcW w:type="dxa" w:w="4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List of PO rows; if absent, SAP extract is called</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state.category</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Caller</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Primary spend category; 'all' if not specified</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state.context.lookback_months</w:t>
            </w:r>
          </w:p>
        </w:tc>
        <w:tc>
          <w:tcPr>
            <w:tcW w:type="dxa" w:w="20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Caller</w:t>
            </w:r>
          </w:p>
        </w:tc>
        <w:tc>
          <w:tcPr>
            <w:tcW w:type="dxa" w:w="4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SAP lookback window, default 24 months</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state.context.make_vs_buy_required</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Caller</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Boolean flag to trigger make-vs-buy analysis</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state.context.make_vs_buy_categories</w:t>
            </w:r>
          </w:p>
        </w:tc>
        <w:tc>
          <w:tcPr>
            <w:tcW w:type="dxa" w:w="20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Caller</w:t>
            </w:r>
          </w:p>
        </w:tc>
        <w:tc>
          <w:tcPr>
            <w:tcW w:type="dxa" w:w="4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List of categories to analyse; defaults to primary</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state.context.industry</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Caller</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Industry context for LLM prompts</w:t>
            </w:r>
          </w:p>
        </w:tc>
      </w:tr>
    </w:tbl>
    <w:p>
      <w:pPr>
        <w:spacing w:after="0" w:before="0"/>
      </w:pPr>
      <w:r>
        <w:t xml:space="preserve"/>
      </w:r>
    </w:p>
    <w:p>
      <w:pPr>
        <w:pStyle w:val="Heading3"/>
        <w:spacing w:after="80" w:before="200"/>
      </w:pPr>
      <w:r>
        <w:rPr>
          <w:rFonts w:ascii="Arial" w:cs="Arial" w:eastAsia="Arial" w:hAnsi="Arial"/>
          <w:b/>
          <w:bCs/>
          <w:i w:val="false"/>
          <w:iCs w:val="false"/>
          <w:color w:val="4A90C4"/>
          <w:sz w:val="22"/>
          <w:szCs w:val="22"/>
        </w:rPr>
        <w:t xml:space="preserve">3.2.4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Output field</w:t>
            </w:r>
          </w:p>
        </w:tc>
        <w:tc>
          <w:tcPr>
            <w:tcW w:type="dxa" w:w="61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Content</w:t>
            </w:r>
          </w:p>
        </w:tc>
      </w:tr>
      <w:tr>
        <w:tc>
          <w:tcPr>
            <w:tcW w:type="dxa" w:w="3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spend_category.spend_classification</w:t>
            </w:r>
          </w:p>
        </w:tc>
        <w:tc>
          <w:tcPr>
            <w:tcW w:type="dxa" w:w="61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Per-category dict: total_spend, spend_share_pct, transaction_count, supplier_count, avg_transaction, spend_type, suppliers</w:t>
            </w:r>
          </w:p>
        </w:tc>
      </w:tr>
      <w:tr>
        <w:tc>
          <w:tcPr>
            <w:tcW w:type="dxa" w:w="3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spend_category.kraljic_matrix</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Four quadrant lists (strategic, leverage, bottleneck, non_critical), each item with category, profit_impact, supply_risk, risk_rationale</w:t>
            </w:r>
          </w:p>
        </w:tc>
      </w:tr>
      <w:tr>
        <w:tc>
          <w:tcPr>
            <w:tcW w:type="dxa" w:w="3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spend_category.category_strategies</w:t>
            </w:r>
          </w:p>
        </w:tc>
        <w:tc>
          <w:tcPr>
            <w:tcW w:type="dxa" w:w="61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List of strategy records: category, quadrant, approach, strategy_brief (LLM prose for high-value categories)</w:t>
            </w:r>
          </w:p>
        </w:tc>
      </w:tr>
      <w:tr>
        <w:tc>
          <w:tcPr>
            <w:tcW w:type="dxa" w:w="3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spend_category.tail_spend_report</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tail_spend_usd, tail_supplier_count, consolidation_opportunities, maverick_buying_flags, pcard_candidates</w:t>
            </w:r>
          </w:p>
        </w:tc>
      </w:tr>
      <w:tr>
        <w:tc>
          <w:tcPr>
            <w:tcW w:type="dxa" w:w="3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spend_category.make_vs_buy_recommendations</w:t>
            </w:r>
          </w:p>
        </w:tc>
        <w:tc>
          <w:tcPr>
            <w:tcW w:type="dxa" w:w="61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List of make-vs-buy results: recommendation, cost_delta_usd, strategic_factors, risk_factors, rationale</w:t>
            </w:r>
          </w:p>
        </w:tc>
      </w:tr>
    </w:tbl>
    <w:p>
      <w:pPr>
        <w:spacing w:after="0" w:before="0"/>
      </w:pPr>
      <w:r>
        <w:t xml:space="preserve"/>
      </w:r>
    </w:p>
    <w:p>
      <w:pPr>
        <w:pStyle w:val="Heading3"/>
        <w:spacing w:after="80" w:before="200"/>
      </w:pPr>
      <w:r>
        <w:rPr>
          <w:rFonts w:ascii="Arial" w:cs="Arial" w:eastAsia="Arial" w:hAnsi="Arial"/>
          <w:b/>
          <w:bCs/>
          <w:i w:val="false"/>
          <w:iCs w:val="false"/>
          <w:color w:val="4A90C4"/>
          <w:sz w:val="22"/>
          <w:szCs w:val="22"/>
        </w:rPr>
        <w:t xml:space="preserve">3.2.5 Kraljic Scoring Algorithm</w:t>
      </w:r>
    </w:p>
    <w:p>
      <w:pPr>
        <w:spacing w:after="80" w:before="80"/>
        <w:jc w:val="left"/>
      </w:pPr>
      <w:r>
        <w:rPr>
          <w:rFonts w:ascii="Arial" w:cs="Arial" w:eastAsia="Arial" w:hAnsi="Arial"/>
          <w:b w:val="false"/>
          <w:bCs w:val="false"/>
          <w:i w:val="false"/>
          <w:iCs w:val="false"/>
          <w:color w:val="2C2C2C"/>
          <w:sz w:val="20"/>
          <w:szCs w:val="20"/>
        </w:rPr>
        <w:t xml:space="preserve">Profit impact is computed as: spend_share × 10 × (1 + spend_type_weight), where spend_type_weight ranges from 1.0 (direct material) to 0.2 (other). Supply risk is computed as: (1 / supplier_count) × 10 × (1 + spend_share), providing a concentration-adjusted risk score. Scores are refined by LLM against domain-specific risk factors (geopolitical exposure, single-source status, regulatory constraints, lead time volatility) before quadrant assignment at the 5.0 threshold on each axis.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C9A84C" w:sz="8"/>
              <w:left w:val="single" w:color="C9A84C" w:sz="8"/>
              <w:bottom w:val="single" w:color="C9A84C" w:sz="8"/>
              <w:right w:val="nil"/>
            </w:tcBorders>
            <w:shd w:fill="FDF6E3"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C9A84C"/>
                <w:sz w:val="22"/>
                <w:szCs w:val="22"/>
              </w:rPr>
              <w:t xml:space="preserve">⚠</w:t>
            </w:r>
          </w:p>
        </w:tc>
        <w:tc>
          <w:tcPr>
            <w:tcW w:type="dxa" w:w="9080"/>
            <w:tcBorders>
              <w:top w:val="single" w:color="C9A84C" w:sz="8"/>
              <w:left w:val="nil"/>
              <w:bottom w:val="single" w:color="C9A84C" w:sz="8"/>
              <w:right w:val="single" w:color="C9A84C" w:sz="8"/>
            </w:tcBorders>
            <w:shd w:fill="FDF6E3" w:val="clear"/>
            <w:tcMar>
              <w:top w:type="dxa" w:w="100"/>
              <w:left w:type="dxa" w:w="140"/>
              <w:bottom w:type="dxa" w:w="100"/>
              <w:right w:type="dxa" w:w="140"/>
            </w:tcMar>
            <w:vAlign w:val="top"/>
          </w:tcPr>
          <w:p>
            <w:pPr>
              <w:spacing w:after="20" w:before="40"/>
              <w:jc w:val="left"/>
            </w:pPr>
            <w:r>
              <w:rPr>
                <w:rFonts w:ascii="Arial" w:cs="Arial" w:eastAsia="Arial" w:hAnsi="Arial"/>
                <w:b/>
                <w:bCs/>
                <w:i w:val="false"/>
                <w:iCs w:val="false"/>
                <w:color w:val="C9A84C"/>
                <w:sz w:val="19"/>
                <w:szCs w:val="19"/>
              </w:rPr>
              <w:t xml:space="preserve">Integration point: SAP spend extract</w:t>
            </w:r>
          </w:p>
          <w:p>
            <w:pPr>
              <w:spacing w:after="40" w:before="80"/>
              <w:jc w:val="left"/>
            </w:pPr>
            <w:r>
              <w:rPr>
                <w:rFonts w:ascii="Arial" w:cs="Arial" w:eastAsia="Arial" w:hAnsi="Arial"/>
                <w:b w:val="false"/>
                <w:bCs w:val="false"/>
                <w:i w:val="false"/>
                <w:iCs w:val="false"/>
                <w:color w:val="2C2C2C"/>
                <w:sz w:val="19"/>
                <w:szCs w:val="19"/>
              </w:rPr>
              <w:t xml:space="preserve">Implement tools/sap.py — SAPSpendClient().get_spend_by_category(category, months=24) — returning a list of PO row dicts. Until wired, inject context.spend_data directly for testing and notebook invocation.</w:t>
            </w:r>
          </w:p>
        </w:tc>
      </w:tr>
    </w:tbl>
    <w:p>
      <w:pPr>
        <w:spacing w:after="0" w:before="0"/>
      </w:pPr>
      <w:r>
        <w:t xml:space="preserve"/>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3.3 SupplierMarketAgent (AGT-SS-SMA)</w:t>
      </w:r>
    </w:p>
    <w:p>
      <w:pPr>
        <w:pStyle w:val="Heading3"/>
        <w:spacing w:after="80" w:before="200"/>
      </w:pPr>
      <w:r>
        <w:rPr>
          <w:rFonts w:ascii="Arial" w:cs="Arial" w:eastAsia="Arial" w:hAnsi="Arial"/>
          <w:b/>
          <w:bCs/>
          <w:i w:val="false"/>
          <w:iCs w:val="false"/>
          <w:color w:val="4A90C4"/>
          <w:sz w:val="22"/>
          <w:szCs w:val="22"/>
        </w:rPr>
        <w:t xml:space="preserve">3.3.1 Processes Owned</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Supply market analysis (structure, competitive dynamics, pricing trends, innovation landscape)</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Total landed cost (TLC) modelling across domestic, nearshore, Europe, and Asia-Pacific</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Approved supplier list (ASL) management: qualification, re-qualification triggers, preferred vendor status</w:t>
      </w:r>
    </w:p>
    <w:p>
      <w:pPr>
        <w:pStyle w:val="Heading3"/>
        <w:spacing w:after="80" w:before="200"/>
      </w:pPr>
      <w:r>
        <w:rPr>
          <w:rFonts w:ascii="Arial" w:cs="Arial" w:eastAsia="Arial" w:hAnsi="Arial"/>
          <w:b/>
          <w:bCs/>
          <w:i w:val="false"/>
          <w:iCs w:val="false"/>
          <w:color w:val="4A90C4"/>
          <w:sz w:val="22"/>
          <w:szCs w:val="22"/>
        </w:rPr>
        <w:t xml:space="preserve">3.3.2 Preconditions</w:t>
      </w:r>
    </w:p>
    <w:p>
      <w:pPr>
        <w:spacing w:after="80" w:before="80"/>
        <w:jc w:val="left"/>
      </w:pPr>
      <w:r>
        <w:rPr>
          <w:rFonts w:ascii="Arial" w:cs="Arial" w:eastAsia="Arial" w:hAnsi="Arial"/>
          <w:b w:val="false"/>
          <w:bCs w:val="false"/>
          <w:i w:val="false"/>
          <w:iCs w:val="false"/>
          <w:color w:val="2C2C2C"/>
          <w:sz w:val="20"/>
          <w:szCs w:val="20"/>
        </w:rPr>
        <w:t xml:space="preserve">can_run() requires state.spend_category.kraljic_matrix to be non-empty, ensuring Kraljic classification is complete before market analysis begins.</w:t>
      </w:r>
    </w:p>
    <w:p>
      <w:pPr>
        <w:pStyle w:val="Heading3"/>
        <w:spacing w:after="80" w:before="200"/>
      </w:pPr>
      <w:r>
        <w:rPr>
          <w:rFonts w:ascii="Arial" w:cs="Arial" w:eastAsia="Arial" w:hAnsi="Arial"/>
          <w:b/>
          <w:bCs/>
          <w:i w:val="false"/>
          <w:iCs w:val="false"/>
          <w:color w:val="4A90C4"/>
          <w:sz w:val="22"/>
          <w:szCs w:val="22"/>
        </w:rPr>
        <w:t xml:space="preserve">3.3.3 Landed Cost Model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800"/>
        <w:gridCol w:w="1800"/>
      </w:tblGrid>
      <w:tr>
        <w:tc>
          <w:tcPr>
            <w:tcW w:type="dxa" w:w="24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Component</w:t>
            </w:r>
          </w:p>
        </w:tc>
        <w:tc>
          <w:tcPr>
            <w:tcW w:type="dxa" w:w="168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Domestic</w:t>
            </w:r>
          </w:p>
        </w:tc>
        <w:tc>
          <w:tcPr>
            <w:tcW w:type="dxa" w:w="168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Nearshore</w:t>
            </w:r>
          </w:p>
        </w:tc>
        <w:tc>
          <w:tcPr>
            <w:tcW w:type="dxa" w:w="18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Europe</w:t>
            </w:r>
          </w:p>
        </w:tc>
        <w:tc>
          <w:tcPr>
            <w:tcW w:type="dxa" w:w="18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Asia-Pacific</w:t>
            </w:r>
          </w:p>
        </w:tc>
      </w:tr>
      <w:tr>
        <w:tc>
          <w:tcPr>
            <w:tcW w:type="dxa" w:w="24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Freight % of unit cost</w:t>
            </w:r>
          </w:p>
        </w:tc>
        <w:tc>
          <w:tcPr>
            <w:tcW w:type="dxa" w:w="168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3%</w:t>
            </w:r>
          </w:p>
        </w:tc>
        <w:tc>
          <w:tcPr>
            <w:tcW w:type="dxa" w:w="168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5%</w:t>
            </w:r>
          </w:p>
        </w:tc>
        <w:tc>
          <w:tcPr>
            <w:tcW w:type="dxa" w:w="18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7%</w:t>
            </w:r>
          </w:p>
        </w:tc>
        <w:tc>
          <w:tcPr>
            <w:tcW w:type="dxa" w:w="18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12%</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Direct material duty</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0%</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3.5%</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5%</w:t>
            </w:r>
          </w:p>
        </w:tc>
      </w:tr>
      <w:tr>
        <w:tc>
          <w:tcPr>
            <w:tcW w:type="dxa" w:w="24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MRO duty</w:t>
            </w:r>
          </w:p>
        </w:tc>
        <w:tc>
          <w:tcPr>
            <w:tcW w:type="dxa" w:w="168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0%</w:t>
            </w:r>
          </w:p>
        </w:tc>
        <w:tc>
          <w:tcPr>
            <w:tcW w:type="dxa" w:w="168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0%</w:t>
            </w:r>
          </w:p>
        </w:tc>
        <w:tc>
          <w:tcPr>
            <w:tcW w:type="dxa" w:w="18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2%</w:t>
            </w:r>
          </w:p>
        </w:tc>
        <w:tc>
          <w:tcPr>
            <w:tcW w:type="dxa" w:w="18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4%</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Lead time (days)</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14</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21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35</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55</w:t>
            </w:r>
          </w:p>
        </w:tc>
      </w:tr>
      <w:tr>
        <w:tc>
          <w:tcPr>
            <w:tcW w:type="dxa" w:w="24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Risk premium</w:t>
            </w:r>
          </w:p>
        </w:tc>
        <w:tc>
          <w:tcPr>
            <w:tcW w:type="dxa" w:w="168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1%</w:t>
            </w:r>
          </w:p>
        </w:tc>
        <w:tc>
          <w:tcPr>
            <w:tcW w:type="dxa" w:w="168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2%</w:t>
            </w:r>
          </w:p>
        </w:tc>
        <w:tc>
          <w:tcPr>
            <w:tcW w:type="dxa" w:w="18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3%</w:t>
            </w:r>
          </w:p>
        </w:tc>
        <w:tc>
          <w:tcPr>
            <w:tcW w:type="dxa" w:w="18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5%</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Carrying cost rate (ann.)</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22%</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22%</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22%</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22%</w:t>
            </w:r>
          </w:p>
        </w:tc>
      </w:tr>
    </w:tbl>
    <w:p>
      <w:pPr>
        <w:spacing w:after="0" w:before="0"/>
      </w:pPr>
      <w:r>
        <w:t xml:space="preserve"/>
      </w:r>
    </w:p>
    <w:p>
      <w:pPr>
        <w:spacing w:after="80" w:before="80"/>
        <w:jc w:val="left"/>
      </w:pPr>
      <w:r>
        <w:rPr>
          <w:rFonts w:ascii="Arial" w:cs="Arial" w:eastAsia="Arial" w:hAnsi="Arial"/>
          <w:b w:val="false"/>
          <w:bCs w:val="false"/>
          <w:i w:val="false"/>
          <w:iCs w:val="false"/>
          <w:color w:val="2C2C2C"/>
          <w:sz w:val="20"/>
          <w:szCs w:val="20"/>
        </w:rPr>
        <w:t xml:space="preserve">Total landed cost is computed as: (unit_cost × (1 + freight + duty + risk_premium) × annual_volume) + (lead_time_days / 365 × annual_spend × carrying_cost_rate). The recommended region minimises this figure. Risk premium is adjusted upward proportionally to the market brief risk_score returned by the LLM.</w:t>
      </w:r>
    </w:p>
    <w:p>
      <w:pPr>
        <w:pStyle w:val="Heading3"/>
        <w:spacing w:after="80" w:before="200"/>
      </w:pPr>
      <w:r>
        <w:rPr>
          <w:rFonts w:ascii="Arial" w:cs="Arial" w:eastAsia="Arial" w:hAnsi="Arial"/>
          <w:b/>
          <w:bCs/>
          <w:i w:val="false"/>
          <w:iCs w:val="false"/>
          <w:color w:val="4A90C4"/>
          <w:sz w:val="22"/>
          <w:szCs w:val="22"/>
        </w:rPr>
        <w:t xml:space="preserve">3.3.4 Shortlist Sizing by Quadrant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Quadrant</w:t>
            </w:r>
          </w:p>
        </w:tc>
        <w:tc>
          <w:tcPr>
            <w:tcW w:type="dxa" w:w="15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Min</w:t>
            </w:r>
          </w:p>
        </w:tc>
        <w:tc>
          <w:tcPr>
            <w:tcW w:type="dxa" w:w="15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Max</w:t>
            </w:r>
          </w:p>
        </w:tc>
        <w:tc>
          <w:tcPr>
            <w:tcW w:type="dxa" w:w="39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Rationale</w:t>
            </w:r>
          </w:p>
        </w:tc>
      </w:tr>
      <w:tr>
        <w:tc>
          <w:tcPr>
            <w:tcW w:type="dxa" w:w="234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Strategic</w:t>
            </w:r>
          </w:p>
        </w:tc>
        <w:tc>
          <w:tcPr>
            <w:tcW w:type="dxa" w:w="1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3</w:t>
            </w:r>
          </w:p>
        </w:tc>
        <w:tc>
          <w:tcPr>
            <w:tcW w:type="dxa" w:w="1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5</w:t>
            </w:r>
          </w:p>
        </w:tc>
        <w:tc>
          <w:tcPr>
            <w:tcW w:type="dxa" w:w="39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Balance relationship depth with competitive tension</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Leverage</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5</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8</w:t>
            </w:r>
          </w:p>
        </w:tc>
        <w:tc>
          <w:tcPr>
            <w:tcW w:type="dxa" w:w="3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Maximise competition to capture market price</w:t>
            </w:r>
          </w:p>
        </w:tc>
      </w:tr>
      <w:tr>
        <w:tc>
          <w:tcPr>
            <w:tcW w:type="dxa" w:w="234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Bottleneck</w:t>
            </w:r>
          </w:p>
        </w:tc>
        <w:tc>
          <w:tcPr>
            <w:tcW w:type="dxa" w:w="1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2</w:t>
            </w:r>
          </w:p>
        </w:tc>
        <w:tc>
          <w:tcPr>
            <w:tcW w:type="dxa" w:w="1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3</w:t>
            </w:r>
          </w:p>
        </w:tc>
        <w:tc>
          <w:tcPr>
            <w:tcW w:type="dxa" w:w="39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Proven incumbents plus one qualified alternative</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Non-critical</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2</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3</w:t>
            </w:r>
          </w:p>
        </w:tc>
        <w:tc>
          <w:tcPr>
            <w:tcW w:type="dxa" w:w="3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Minimise transaction cost; simplicity preferred</w:t>
            </w:r>
          </w:p>
        </w:tc>
      </w:tr>
    </w:tbl>
    <w:p>
      <w:pPr>
        <w:spacing w:after="0" w:before="0"/>
      </w:pPr>
      <w:r>
        <w:t xml:space="preserve"/>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3.4 SourcingExecutionAgent (AGT-SS-SEA)</w:t>
      </w:r>
    </w:p>
    <w:p>
      <w:pPr>
        <w:pStyle w:val="Heading3"/>
        <w:spacing w:after="80" w:before="200"/>
      </w:pPr>
      <w:r>
        <w:rPr>
          <w:rFonts w:ascii="Arial" w:cs="Arial" w:eastAsia="Arial" w:hAnsi="Arial"/>
          <w:b/>
          <w:bCs/>
          <w:i w:val="false"/>
          <w:iCs w:val="false"/>
          <w:color w:val="4A90C4"/>
          <w:sz w:val="22"/>
          <w:szCs w:val="22"/>
        </w:rPr>
        <w:t xml:space="preserve">3.4.1 Processes Owned</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End-to-end sourcing event execution: RFI, RFQ, RFP, and reverse auction</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Supplier qualification and evaluation with weighted scoring matrices</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TCO model construction with five cost components</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Direct materials BOM cost-down program identification</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Award recommendation with LLM-generated rationale</w:t>
      </w:r>
    </w:p>
    <w:p>
      <w:pPr>
        <w:pStyle w:val="Heading3"/>
        <w:spacing w:after="80" w:before="200"/>
      </w:pPr>
      <w:r>
        <w:rPr>
          <w:rFonts w:ascii="Arial" w:cs="Arial" w:eastAsia="Arial" w:hAnsi="Arial"/>
          <w:b/>
          <w:bCs/>
          <w:i w:val="false"/>
          <w:iCs w:val="false"/>
          <w:color w:val="4A90C4"/>
          <w:sz w:val="22"/>
          <w:szCs w:val="22"/>
        </w:rPr>
        <w:t xml:space="preserve">3.4.2 Event Type Selection</w:t>
      </w:r>
    </w:p>
    <w:p>
      <w:pPr>
        <w:spacing w:after="80" w:before="80"/>
        <w:jc w:val="left"/>
      </w:pPr>
      <w:r>
        <w:rPr>
          <w:rFonts w:ascii="Arial" w:cs="Arial" w:eastAsia="Arial" w:hAnsi="Arial"/>
          <w:b w:val="false"/>
          <w:bCs w:val="false"/>
          <w:i w:val="false"/>
          <w:iCs w:val="false"/>
          <w:color w:val="2C2C2C"/>
          <w:sz w:val="20"/>
          <w:szCs w:val="20"/>
        </w:rPr>
        <w:t xml:space="preserve">Event type is derived from the dominant Kraljic quadrant of the category strategies in scope, unless overridden by context.event_type_override. The mapping is: Strategic → RFP, Leverage → RFQ, Bottleneck → RFI, Non-critical → RFQ.</w:t>
      </w:r>
    </w:p>
    <w:p>
      <w:pPr>
        <w:pStyle w:val="Heading3"/>
        <w:spacing w:after="80" w:before="200"/>
      </w:pPr>
      <w:r>
        <w:rPr>
          <w:rFonts w:ascii="Arial" w:cs="Arial" w:eastAsia="Arial" w:hAnsi="Arial"/>
          <w:b/>
          <w:bCs/>
          <w:i w:val="false"/>
          <w:iCs w:val="false"/>
          <w:color w:val="4A90C4"/>
          <w:sz w:val="22"/>
          <w:szCs w:val="22"/>
        </w:rPr>
        <w:t xml:space="preserve">3.4.3 TCO Model</w:t>
      </w:r>
    </w:p>
    <w:p>
      <w:pPr>
        <w:spacing w:after="80" w:before="80"/>
        <w:jc w:val="left"/>
      </w:pPr>
      <w:r>
        <w:rPr>
          <w:rFonts w:ascii="Arial" w:cs="Arial" w:eastAsia="Arial" w:hAnsi="Arial"/>
          <w:b w:val="false"/>
          <w:bCs w:val="false"/>
          <w:i w:val="false"/>
          <w:iCs w:val="false"/>
          <w:color w:val="2C2C2C"/>
          <w:sz w:val="20"/>
          <w:szCs w:val="20"/>
        </w:rPr>
        <w:t xml:space="preserve">The five TCO components and their weights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Component</w:t>
            </w:r>
          </w:p>
        </w:tc>
        <w:tc>
          <w:tcPr>
            <w:tcW w:type="dxa" w:w="14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Weight</w:t>
            </w:r>
          </w:p>
        </w:tc>
        <w:tc>
          <w:tcPr>
            <w:tcW w:type="dxa" w:w="53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Computation</w:t>
            </w:r>
          </w:p>
        </w:tc>
      </w:tr>
      <w:tr>
        <w:tc>
          <w:tcPr>
            <w:tcW w:type="dxa" w:w="2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Unit price (normalised)</w:t>
            </w:r>
          </w:p>
        </w:tc>
        <w:tc>
          <w:tcPr>
            <w:tcW w:type="dxa" w:w="14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45%</w:t>
            </w:r>
          </w:p>
        </w:tc>
        <w:tc>
          <w:tcPr>
            <w:tcW w:type="dxa" w:w="5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Bid price adjusted for incoterms, payment terms NPV, and amortised tooling</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Quality cost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20%</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(defect_PPM / 1,000,000) × rework_cost_per_unit</w:t>
            </w:r>
          </w:p>
        </w:tc>
      </w:tr>
      <w:tr>
        <w:tc>
          <w:tcPr>
            <w:tcW w:type="dxa" w:w="2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Logistics</w:t>
            </w:r>
          </w:p>
        </w:tc>
        <w:tc>
          <w:tcPr>
            <w:tcW w:type="dxa" w:w="14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15%</w:t>
            </w:r>
          </w:p>
        </w:tc>
        <w:tc>
          <w:tcPr>
            <w:tcW w:type="dxa" w:w="5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unit_price × freight_pct (3%–12% by lead time proxy)</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Tooling amortised</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10%</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tooling_cost / (annual_volume × contract_years)</w:t>
            </w:r>
          </w:p>
        </w:tc>
      </w:tr>
      <w:tr>
        <w:tc>
          <w:tcPr>
            <w:tcW w:type="dxa" w:w="2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Disruption risk</w:t>
            </w:r>
          </w:p>
        </w:tc>
        <w:tc>
          <w:tcPr>
            <w:tcW w:type="dxa" w:w="14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10%</w:t>
            </w:r>
          </w:p>
        </w:tc>
        <w:tc>
          <w:tcPr>
            <w:tcW w:type="dxa" w:w="5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(disruption_cost_per_day × lead_time × (1-OTD) × fin_health_multiplier) / annual_volume</w:t>
            </w:r>
          </w:p>
        </w:tc>
      </w:tr>
    </w:tbl>
    <w:p>
      <w:pPr>
        <w:spacing w:after="0" w:before="0"/>
      </w:pPr>
      <w:r>
        <w:t xml:space="preserve"/>
      </w:r>
    </w:p>
    <w:p>
      <w:pPr>
        <w:pStyle w:val="Heading3"/>
        <w:spacing w:after="80" w:before="200"/>
      </w:pPr>
      <w:r>
        <w:rPr>
          <w:rFonts w:ascii="Arial" w:cs="Arial" w:eastAsia="Arial" w:hAnsi="Arial"/>
          <w:b/>
          <w:bCs/>
          <w:i w:val="false"/>
          <w:iCs w:val="false"/>
          <w:color w:val="4A90C4"/>
          <w:sz w:val="22"/>
          <w:szCs w:val="22"/>
        </w:rPr>
        <w:t xml:space="preserve">3.4.4 Bid Evaluation Scoring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65"/>
        <w:gridCol w:w="1665"/>
        <w:gridCol w:w="1665"/>
        <w:gridCol w:w="1665"/>
        <w:gridCol w:w="1700"/>
      </w:tblGrid>
      <w:tr>
        <w:tc>
          <w:tcPr>
            <w:tcW w:type="dxa" w:w="30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Criterion</w:t>
            </w:r>
          </w:p>
        </w:tc>
        <w:tc>
          <w:tcPr>
            <w:tcW w:type="dxa" w:w="1665"/>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RFP</w:t>
            </w:r>
          </w:p>
        </w:tc>
        <w:tc>
          <w:tcPr>
            <w:tcW w:type="dxa" w:w="1665"/>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RFQ</w:t>
            </w:r>
          </w:p>
        </w:tc>
        <w:tc>
          <w:tcPr>
            <w:tcW w:type="dxa" w:w="1665"/>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RFI</w:t>
            </w:r>
          </w:p>
        </w:tc>
        <w:tc>
          <w:tcPr>
            <w:tcW w:type="dxa" w:w="1665"/>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Rev. Auction</w:t>
            </w:r>
          </w:p>
        </w:tc>
        <w:tc>
          <w:tcPr>
            <w:tcW w:type="dxa" w:w="17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Note</w:t>
            </w:r>
          </w:p>
        </w:tc>
      </w:tr>
      <w:tr>
        <w:tc>
          <w:tcPr>
            <w:tcW w:type="dxa" w:w="30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Total cost (TCO)</w:t>
            </w:r>
          </w:p>
        </w:tc>
        <w:tc>
          <w:tcPr>
            <w:tcW w:type="dxa" w:w="1665"/>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35%</w:t>
            </w:r>
          </w:p>
        </w:tc>
        <w:tc>
          <w:tcPr>
            <w:tcW w:type="dxa" w:w="1665"/>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55%</w:t>
            </w:r>
          </w:p>
        </w:tc>
        <w:tc>
          <w:tcPr>
            <w:tcW w:type="dxa" w:w="1665"/>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w:t>
            </w:r>
          </w:p>
        </w:tc>
        <w:tc>
          <w:tcPr>
            <w:tcW w:type="dxa" w:w="1665"/>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70%</w:t>
            </w:r>
          </w:p>
        </w:tc>
        <w:tc>
          <w:tcPr>
            <w:tcW w:type="dxa" w:w="17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Normalised: lowest TCO = 100</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Technical capability</w:t>
            </w:r>
          </w:p>
        </w:tc>
        <w:tc>
          <w:tcPr>
            <w:tcW w:type="dxa" w:w="16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25%</w:t>
            </w:r>
          </w:p>
        </w:tc>
        <w:tc>
          <w:tcPr>
            <w:tcW w:type="dxa" w:w="16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w:t>
            </w:r>
          </w:p>
        </w:tc>
        <w:tc>
          <w:tcPr>
            <w:tcW w:type="dxa" w:w="16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40%</w:t>
            </w:r>
          </w:p>
        </w:tc>
        <w:tc>
          <w:tcPr>
            <w:tcW w:type="dxa" w:w="16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LLM score 0–100 from bid</w:t>
            </w:r>
          </w:p>
        </w:tc>
      </w:tr>
      <w:tr>
        <w:tc>
          <w:tcPr>
            <w:tcW w:type="dxa" w:w="30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Quality history (PPM)</w:t>
            </w:r>
          </w:p>
        </w:tc>
        <w:tc>
          <w:tcPr>
            <w:tcW w:type="dxa" w:w="1665"/>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15%</w:t>
            </w:r>
          </w:p>
        </w:tc>
        <w:tc>
          <w:tcPr>
            <w:tcW w:type="dxa" w:w="1665"/>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15%</w:t>
            </w:r>
          </w:p>
        </w:tc>
        <w:tc>
          <w:tcPr>
            <w:tcW w:type="dxa" w:w="1665"/>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20%</w:t>
            </w:r>
          </w:p>
        </w:tc>
        <w:tc>
          <w:tcPr>
            <w:tcW w:type="dxa" w:w="1665"/>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15%</w:t>
            </w:r>
          </w:p>
        </w:tc>
        <w:tc>
          <w:tcPr>
            <w:tcW w:type="dxa" w:w="17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100 − (PPM / 100)</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Delivery (OTD %)</w:t>
            </w:r>
          </w:p>
        </w:tc>
        <w:tc>
          <w:tcPr>
            <w:tcW w:type="dxa" w:w="16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10%</w:t>
            </w:r>
          </w:p>
        </w:tc>
        <w:tc>
          <w:tcPr>
            <w:tcW w:type="dxa" w:w="16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15%</w:t>
            </w:r>
          </w:p>
        </w:tc>
        <w:tc>
          <w:tcPr>
            <w:tcW w:type="dxa" w:w="16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w:t>
            </w:r>
          </w:p>
        </w:tc>
        <w:tc>
          <w:tcPr>
            <w:tcW w:type="dxa" w:w="16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10%</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Bid-stated OTD percentage</w:t>
            </w:r>
          </w:p>
        </w:tc>
      </w:tr>
      <w:tr>
        <w:tc>
          <w:tcPr>
            <w:tcW w:type="dxa" w:w="30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Financial health</w:t>
            </w:r>
          </w:p>
        </w:tc>
        <w:tc>
          <w:tcPr>
            <w:tcW w:type="dxa" w:w="1665"/>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10%</w:t>
            </w:r>
          </w:p>
        </w:tc>
        <w:tc>
          <w:tcPr>
            <w:tcW w:type="dxa" w:w="1665"/>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10%</w:t>
            </w:r>
          </w:p>
        </w:tc>
        <w:tc>
          <w:tcPr>
            <w:tcW w:type="dxa" w:w="1665"/>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25%</w:t>
            </w:r>
          </w:p>
        </w:tc>
        <w:tc>
          <w:tcPr>
            <w:tcW w:type="dxa" w:w="1665"/>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5%</w:t>
            </w:r>
          </w:p>
        </w:tc>
        <w:tc>
          <w:tcPr>
            <w:tcW w:type="dxa" w:w="17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strong=90, stable=70, weak=40</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Sustainability</w:t>
            </w:r>
          </w:p>
        </w:tc>
        <w:tc>
          <w:tcPr>
            <w:tcW w:type="dxa" w:w="16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5%</w:t>
            </w:r>
          </w:p>
        </w:tc>
        <w:tc>
          <w:tcPr>
            <w:tcW w:type="dxa" w:w="16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5%</w:t>
            </w:r>
          </w:p>
        </w:tc>
        <w:tc>
          <w:tcPr>
            <w:tcW w:type="dxa" w:w="16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15%</w:t>
            </w:r>
          </w:p>
        </w:tc>
        <w:tc>
          <w:tcPr>
            <w:tcW w:type="dxa" w:w="166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From ASL sustainability_score</w:t>
            </w:r>
          </w:p>
        </w:tc>
      </w:tr>
    </w:tbl>
    <w:p>
      <w:pPr>
        <w:spacing w:after="0" w:before="0"/>
      </w:pPr>
      <w:r>
        <w:t xml:space="preserve"/>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3.5 ContractSupplierAgent (AGT-SS-CSA)</w:t>
      </w:r>
    </w:p>
    <w:p>
      <w:pPr>
        <w:pStyle w:val="Heading3"/>
        <w:spacing w:after="80" w:before="200"/>
      </w:pPr>
      <w:r>
        <w:rPr>
          <w:rFonts w:ascii="Arial" w:cs="Arial" w:eastAsia="Arial" w:hAnsi="Arial"/>
          <w:b/>
          <w:bCs/>
          <w:i w:val="false"/>
          <w:iCs w:val="false"/>
          <w:color w:val="4A90C4"/>
          <w:sz w:val="22"/>
          <w:szCs w:val="22"/>
        </w:rPr>
        <w:t xml:space="preserve">3.5.1 Processes Owned</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Negotiation strategy: target price, BATNA, opening anchor, concession sequence, clause priority stack</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Contract drafting: eight standard clause templates populated with negotiated terms, plus up to three LLM-generated bespoke clauses</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Contract execution: DocuSign routing and envelope management</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Supplier onboarding: ERP vendor master, EDI connectivity, compliance documentation, PPAP/FAIR for direct materials</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Sustainability and code of conduct assessment across eight ESG dimensions</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Performance KPI baseline: OTD, PPM, PPV, invoice accuracy, responsiveness</w:t>
      </w:r>
    </w:p>
    <w:p>
      <w:pPr>
        <w:pStyle w:val="Heading3"/>
        <w:spacing w:after="80" w:before="200"/>
      </w:pPr>
      <w:r>
        <w:rPr>
          <w:rFonts w:ascii="Arial" w:cs="Arial" w:eastAsia="Arial" w:hAnsi="Arial"/>
          <w:b/>
          <w:bCs/>
          <w:i w:val="false"/>
          <w:iCs w:val="false"/>
          <w:color w:val="4A90C4"/>
          <w:sz w:val="22"/>
          <w:szCs w:val="22"/>
        </w:rPr>
        <w:t xml:space="preserve">3.5.2 Negotiation Price Targets</w:t>
      </w:r>
    </w:p>
    <w:p>
      <w:pPr>
        <w:spacing w:after="80" w:before="80"/>
        <w:jc w:val="left"/>
      </w:pPr>
      <w:r>
        <w:rPr>
          <w:rFonts w:ascii="Arial" w:cs="Arial" w:eastAsia="Arial" w:hAnsi="Arial"/>
          <w:b w:val="false"/>
          <w:bCs w:val="false"/>
          <w:i w:val="false"/>
          <w:iCs w:val="false"/>
          <w:color w:val="2C2C2C"/>
          <w:sz w:val="20"/>
          <w:szCs w:val="20"/>
        </w:rPr>
        <w:t xml:space="preserve">Pricing targets are derived algorithmically from TCO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Target</w:t>
            </w:r>
          </w:p>
        </w:tc>
        <w:tc>
          <w:tcPr>
            <w:tcW w:type="dxa" w:w="20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Formula</w:t>
            </w:r>
          </w:p>
        </w:tc>
        <w:tc>
          <w:tcPr>
            <w:tcW w:type="dxa" w:w="45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Rationale</w:t>
            </w:r>
          </w:p>
        </w:tc>
      </w:tr>
      <w:tr>
        <w:tc>
          <w:tcPr>
            <w:tcW w:type="dxa" w:w="28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Opening anchor</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quoted_TCO × 0.88</w:t>
            </w:r>
          </w:p>
        </w:tc>
        <w:tc>
          <w:tcPr>
            <w:tcW w:type="dxa" w:w="4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12% below quoted TCO; establishes aggressive but defensible position</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Target price</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quoted_TCO × 0.93</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7% reduction target; NPV-positive outcome at budget hurdle rate</w:t>
            </w:r>
          </w:p>
        </w:tc>
      </w:tr>
      <w:tr>
        <w:tc>
          <w:tcPr>
            <w:tcW w:type="dxa" w:w="28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Walk-away price</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BATNA_TCO × 0.98</w:t>
            </w:r>
          </w:p>
        </w:tc>
        <w:tc>
          <w:tcPr>
            <w:tcW w:type="dxa" w:w="4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2% above BATNA; preserves competitiveness vs. second supplier</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BATNA reference</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second_ranked_TCO</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Derived from sourcing_execution.tco_comparison rank 2</w:t>
            </w:r>
          </w:p>
        </w:tc>
      </w:tr>
    </w:tbl>
    <w:p>
      <w:pPr>
        <w:spacing w:after="0" w:before="0"/>
      </w:pPr>
      <w:r>
        <w:t xml:space="preserve"/>
      </w:r>
    </w:p>
    <w:p>
      <w:pPr>
        <w:pStyle w:val="Heading3"/>
        <w:spacing w:after="80" w:before="200"/>
      </w:pPr>
      <w:r>
        <w:rPr>
          <w:rFonts w:ascii="Arial" w:cs="Arial" w:eastAsia="Arial" w:hAnsi="Arial"/>
          <w:b/>
          <w:bCs/>
          <w:i w:val="false"/>
          <w:iCs w:val="false"/>
          <w:color w:val="4A90C4"/>
          <w:sz w:val="22"/>
          <w:szCs w:val="22"/>
        </w:rPr>
        <w:t xml:space="preserve">3.5.3 Standard Contract Clause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Clause ID</w:t>
            </w:r>
          </w:p>
        </w:tc>
        <w:tc>
          <w:tcPr>
            <w:tcW w:type="dxa" w:w="71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Key terms</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pricing</w:t>
            </w:r>
          </w:p>
        </w:tc>
        <w:tc>
          <w:tcPr>
            <w:tcW w:type="dxa" w:w="71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Firm price for 24 months; CPI or 3% cap on escalation; 90 days notice</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delivery</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95% OTD target; ±3 day window; expedite fees for late delivery</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quality_sla</w:t>
            </w:r>
          </w:p>
        </w:tc>
        <w:tc>
          <w:tcPr>
            <w:tcW w:type="dxa" w:w="71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500 PPM maximum; 2-day response for escapes; ISO 9001:2015 maintained</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ip_ownership</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Buyer-funded designs and tooling remain Buyer property; royalty-free improvement license</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audit_rights</w:t>
            </w:r>
          </w:p>
        </w:tc>
        <w:tc>
          <w:tcPr>
            <w:tcW w:type="dxa" w:w="71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10 days notice; maximum 2 audits per year; facilities, quality, financial, subcontractors</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termination</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90-day convenience notice; immediate for-cause with 30-day cure period</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sustainability</w:t>
            </w:r>
          </w:p>
        </w:tc>
        <w:tc>
          <w:tcPr>
            <w:tcW w:type="dxa" w:w="71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CoC compliance; minimum sustainability score 70/100; Scope 1 &amp; 2 annual reporting</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force_majeure</w:t>
            </w:r>
          </w:p>
        </w:tc>
        <w:tc>
          <w:tcPr>
            <w:tcW w:type="dxa" w:w="7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Standard force majeure with prompt notice and mitigation obligations</w:t>
            </w:r>
          </w:p>
        </w:tc>
      </w:tr>
    </w:tbl>
    <w:p>
      <w:pPr>
        <w:spacing w:after="0" w:before="0"/>
      </w:pPr>
      <w:r>
        <w:t xml:space="preserve"/>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3.6 AnalyticsGovernanceAgent (AGT-SS-AGA)</w:t>
      </w:r>
    </w:p>
    <w:p>
      <w:pPr>
        <w:pStyle w:val="Heading3"/>
        <w:spacing w:after="80" w:before="200"/>
      </w:pPr>
      <w:r>
        <w:rPr>
          <w:rFonts w:ascii="Arial" w:cs="Arial" w:eastAsia="Arial" w:hAnsi="Arial"/>
          <w:b/>
          <w:bCs/>
          <w:i w:val="false"/>
          <w:iCs w:val="false"/>
          <w:color w:val="4A90C4"/>
          <w:sz w:val="22"/>
          <w:szCs w:val="22"/>
        </w:rPr>
        <w:t xml:space="preserve">3.6.1 Processes Owned</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Purchase price variance (PPV) tracking: actuals vs. budget and prior year, by category and supplier</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Monthly procurement analytics dashboard: savings realised, savings pipeline, contract coverage, PO compliance</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Contract coverage heatmap: coverage percentage and risk classification per category</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Savings pipeline register: initiatives tracked from identification through realisation</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Procurement maturity roadmap: PCMM scoring across ten dimensions, LLM-generated transformation initiatives</w:t>
      </w:r>
    </w:p>
    <w:p>
      <w:pPr>
        <w:pStyle w:val="Heading3"/>
        <w:spacing w:after="80" w:before="200"/>
      </w:pPr>
      <w:r>
        <w:rPr>
          <w:rFonts w:ascii="Arial" w:cs="Arial" w:eastAsia="Arial" w:hAnsi="Arial"/>
          <w:b/>
          <w:bCs/>
          <w:i w:val="false"/>
          <w:iCs w:val="false"/>
          <w:color w:val="4A90C4"/>
          <w:sz w:val="22"/>
          <w:szCs w:val="22"/>
        </w:rPr>
        <w:t xml:space="preserve">3.6.2 PPV Computation</w:t>
      </w:r>
    </w:p>
    <w:p>
      <w:pPr>
        <w:spacing w:after="80" w:before="80"/>
        <w:jc w:val="left"/>
      </w:pPr>
      <w:r>
        <w:rPr>
          <w:rFonts w:ascii="Arial" w:cs="Arial" w:eastAsia="Arial" w:hAnsi="Arial"/>
          <w:b w:val="false"/>
          <w:bCs w:val="false"/>
          <w:i w:val="false"/>
          <w:iCs w:val="false"/>
          <w:color w:val="2C2C2C"/>
          <w:sz w:val="20"/>
          <w:szCs w:val="20"/>
        </w:rPr>
        <w:t xml:space="preserve">Purchase Price Variance = (Actual Unit Price − Budget Unit Price) × Actual Quantity. Negative PPV is favourable (actual below budget); positive PPV is unfavourable. When unit-level actuals are unavailable, category-level spend totals are used as a proxy, flagged accordingly in the output.</w:t>
      </w:r>
    </w:p>
    <w:p>
      <w:pPr>
        <w:pStyle w:val="Heading3"/>
        <w:spacing w:after="80" w:before="200"/>
      </w:pPr>
      <w:r>
        <w:rPr>
          <w:rFonts w:ascii="Arial" w:cs="Arial" w:eastAsia="Arial" w:hAnsi="Arial"/>
          <w:b/>
          <w:bCs/>
          <w:i w:val="false"/>
          <w:iCs w:val="false"/>
          <w:color w:val="4A90C4"/>
          <w:sz w:val="22"/>
          <w:szCs w:val="22"/>
        </w:rPr>
        <w:t xml:space="preserve">3.6.3 Maturity Model Dimensions (PCMM)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Dimension</w:t>
            </w:r>
          </w:p>
        </w:tc>
        <w:tc>
          <w:tcPr>
            <w:tcW w:type="dxa" w:w="61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Description</w:t>
            </w:r>
          </w:p>
        </w:tc>
      </w:tr>
      <w:tr>
        <w:tc>
          <w:tcPr>
            <w:tcW w:type="dxa" w:w="3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Spend visibility</w:t>
            </w:r>
          </w:p>
        </w:tc>
        <w:tc>
          <w:tcPr>
            <w:tcW w:type="dxa" w:w="61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Completeness and accuracy of spend data and classification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Category management</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Structured category strategies across all major categories</w:t>
            </w:r>
          </w:p>
        </w:tc>
      </w:tr>
      <w:tr>
        <w:tc>
          <w:tcPr>
            <w:tcW w:type="dxa" w:w="3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Supplier management</w:t>
            </w:r>
          </w:p>
        </w:tc>
        <w:tc>
          <w:tcPr>
            <w:tcW w:type="dxa" w:w="61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ASL currency, qualification rigour, and performance measurement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Sourcing process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RFQ/RFP discipline, TCO analysis, and competitive event cadence</w:t>
            </w:r>
          </w:p>
        </w:tc>
      </w:tr>
      <w:tr>
        <w:tc>
          <w:tcPr>
            <w:tcW w:type="dxa" w:w="3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Contract management</w:t>
            </w:r>
          </w:p>
        </w:tc>
        <w:tc>
          <w:tcPr>
            <w:tcW w:type="dxa" w:w="61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Contract coverage rate, clause standardisation, and compliance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Analytics &amp; reporting</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KPI availability, dashboard quality, and decision support quality</w:t>
            </w:r>
          </w:p>
        </w:tc>
      </w:tr>
      <w:tr>
        <w:tc>
          <w:tcPr>
            <w:tcW w:type="dxa" w:w="3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Risk management</w:t>
            </w:r>
          </w:p>
        </w:tc>
        <w:tc>
          <w:tcPr>
            <w:tcW w:type="dxa" w:w="61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Supply risk identification, monitoring, and mitigation programmes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Stakeholder alignment</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Procurement influence on specification and budget planning cycles</w:t>
            </w:r>
          </w:p>
        </w:tc>
      </w:tr>
      <w:tr>
        <w:tc>
          <w:tcPr>
            <w:tcW w:type="dxa" w:w="3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Technology enablement</w:t>
            </w:r>
          </w:p>
        </w:tc>
        <w:tc>
          <w:tcPr>
            <w:tcW w:type="dxa" w:w="61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ERP, eProcurement, and analytics tool adoption and integration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Talent &amp; organisation</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Team skills, training programmes, and organisational structure</w:t>
            </w:r>
          </w:p>
        </w:tc>
      </w:tr>
    </w:tbl>
    <w:p>
      <w:pPr>
        <w:spacing w:after="0" w:before="0"/>
      </w:pPr>
      <w:r>
        <w:t xml:space="preserve"/>
      </w:r>
    </w:p>
    <w:p>
      <w:pPr>
        <w:spacing w:after="0" w:before="0"/>
      </w:pPr>
      <w:r>
        <w:br w:type="page"/>
      </w:r>
    </w:p>
    <w:p>
      <w:pPr>
        <w:pStyle w:val="Heading1"/>
        <w:spacing w:after="160" w:before="360"/>
      </w:pPr>
      <w:r>
        <w:rPr>
          <w:rFonts w:ascii="Arial" w:cs="Arial" w:eastAsia="Arial" w:hAnsi="Arial"/>
          <w:b/>
          <w:bCs/>
          <w:i w:val="false"/>
          <w:iCs w:val="false"/>
          <w:color w:val="1B3A5C"/>
          <w:sz w:val="30"/>
          <w:szCs w:val="30"/>
        </w:rPr>
        <w:t xml:space="preserve">4. State Schema</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4.1 WorkflowState TypedDict</w:t>
      </w:r>
    </w:p>
    <w:p>
      <w:pPr>
        <w:spacing w:after="80" w:before="80"/>
        <w:jc w:val="left"/>
      </w:pPr>
      <w:r>
        <w:rPr>
          <w:rFonts w:ascii="Arial" w:cs="Arial" w:eastAsia="Arial" w:hAnsi="Arial"/>
          <w:b w:val="false"/>
          <w:bCs w:val="false"/>
          <w:i w:val="false"/>
          <w:iCs w:val="false"/>
          <w:color w:val="2C2C2C"/>
          <w:sz w:val="20"/>
          <w:szCs w:val="20"/>
        </w:rPr>
        <w:t xml:space="preserve">The canonical shared state is defined in agt_ss/state/schema.py as a Python TypedDict with total=False (all fields optional at construction). Agents read the full state and return only their output sub-dict; the orchestrator merges these non-destructively.</w:t>
      </w:r>
    </w:p>
    <w:p>
      <w:pPr>
        <w:pStyle w:val="Heading3"/>
        <w:spacing w:after="80" w:before="200"/>
      </w:pPr>
      <w:r>
        <w:rPr>
          <w:rFonts w:ascii="Arial" w:cs="Arial" w:eastAsia="Arial" w:hAnsi="Arial"/>
          <w:b/>
          <w:bCs/>
          <w:i w:val="false"/>
          <w:iCs w:val="false"/>
          <w:color w:val="4A90C4"/>
          <w:sz w:val="22"/>
          <w:szCs w:val="22"/>
        </w:rPr>
        <w:t xml:space="preserve">4.1.1 Control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Field</w:t>
            </w:r>
          </w:p>
        </w:tc>
        <w:tc>
          <w:tcPr>
            <w:tcW w:type="dxa" w:w="16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Type</w:t>
            </w:r>
          </w:p>
        </w:tc>
        <w:tc>
          <w:tcPr>
            <w:tcW w:type="dxa" w:w="49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workflow_id</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str (UUID)</w:t>
            </w:r>
          </w:p>
        </w:tc>
        <w:tc>
          <w:tcPr>
            <w:tcW w:type="dxa" w:w="4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Globally unique workflow identifier</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status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WorkflowStatus</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pending | running | awaiting_human | completed | failed | dead_letter</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current_agent</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AgentName</w:t>
            </w:r>
          </w:p>
        </w:tc>
        <w:tc>
          <w:tcPr>
            <w:tcW w:type="dxa" w:w="4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Name of the agent currently executing or last executed</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task_graph</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list[dict]</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Declarative execution plan with step, agent, depends_on, status</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iteration_count</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int</w:t>
            </w:r>
          </w:p>
        </w:tc>
        <w:tc>
          <w:tcPr>
            <w:tcW w:type="dxa" w:w="4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Supervisor loop counter; workflow fails at max_iterations (default 50)</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pending_checkpoint</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str | None</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Active CheckpointGate value, or None if no gate is pending</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checkpoint_history</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list[dict]</w:t>
            </w:r>
          </w:p>
        </w:tc>
        <w:tc>
          <w:tcPr>
            <w:tcW w:type="dxa" w:w="4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Ordered list of HumanCheckpointRecord entries</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errors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list[str]</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Accumulated error messages from all agents</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dead_letters</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list[dict]</w:t>
            </w:r>
          </w:p>
        </w:tc>
        <w:tc>
          <w:tcPr>
            <w:tcW w:type="dxa" w:w="4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DeadLetterRecord entries for all exhausted retries</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audit_log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list[dict]</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Chronological action log: timestamp, agent, action, detail</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escalation_required</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bool</w:t>
            </w:r>
          </w:p>
        </w:tc>
        <w:tc>
          <w:tcPr>
            <w:tcW w:type="dxa" w:w="4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Set True when iteration limit exceeded or manual escalation needed</w:t>
            </w:r>
          </w:p>
        </w:tc>
      </w:tr>
    </w:tbl>
    <w:p>
      <w:pPr>
        <w:spacing w:after="0" w:before="0"/>
      </w:pPr>
      <w:r>
        <w:t xml:space="preserve"/>
      </w:r>
    </w:p>
    <w:p>
      <w:pPr>
        <w:pStyle w:val="Heading3"/>
        <w:spacing w:after="80" w:before="200"/>
      </w:pPr>
      <w:r>
        <w:rPr>
          <w:rFonts w:ascii="Arial" w:cs="Arial" w:eastAsia="Arial" w:hAnsi="Arial"/>
          <w:b/>
          <w:bCs/>
          <w:i w:val="false"/>
          <w:iCs w:val="false"/>
          <w:color w:val="4A90C4"/>
          <w:sz w:val="22"/>
          <w:szCs w:val="22"/>
        </w:rPr>
        <w:t xml:space="preserve">4.1.2 Agent output sub-dicts</w:t>
      </w:r>
    </w:p>
    <w:p>
      <w:pPr>
        <w:spacing w:after="80" w:before="80"/>
        <w:jc w:val="left"/>
      </w:pPr>
      <w:r>
        <w:rPr>
          <w:rFonts w:ascii="Arial" w:cs="Arial" w:eastAsia="Arial" w:hAnsi="Arial"/>
          <w:b w:val="false"/>
          <w:bCs w:val="false"/>
          <w:i w:val="false"/>
          <w:iCs w:val="false"/>
          <w:color w:val="2C2C2C"/>
          <w:sz w:val="20"/>
          <w:szCs w:val="20"/>
        </w:rPr>
        <w:t xml:space="preserve">Each agent writes exclusively to its own sub-dict within WorkflowState. The five sub-dict keys are: spend_category, supplier_market, sourcing_execution, contract_supplier, analytics_governance. These are shallow-merged by the orchestrator: new keys are added, existing keys are updated, and list-type top-level fields are concatenated.</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4.2 WorkflowStatus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Value</w:t>
            </w:r>
          </w:p>
        </w:tc>
        <w:tc>
          <w:tcPr>
            <w:tcW w:type="dxa" w:w="67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Meaning</w:t>
            </w:r>
          </w:p>
        </w:tc>
      </w:tr>
      <w:tr>
        <w:tc>
          <w:tcPr>
            <w:tcW w:type="dxa" w:w="26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pending</w:t>
            </w:r>
          </w:p>
        </w:tc>
        <w:tc>
          <w:tcPr>
            <w:tcW w:type="dxa" w:w="67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Initial state; workflow has been created but intake node has not yet run</w:t>
            </w:r>
          </w:p>
        </w:tc>
      </w:tr>
      <w:tr>
        <w:tc>
          <w:tcPr>
            <w:tcW w:type="dxa" w:w="26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running</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Normal execution; supervisor is routing between agents</w:t>
            </w:r>
          </w:p>
        </w:tc>
      </w:tr>
      <w:tr>
        <w:tc>
          <w:tcPr>
            <w:tcW w:type="dxa" w:w="26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awaiting_human</w:t>
            </w:r>
          </w:p>
        </w:tc>
        <w:tc>
          <w:tcPr>
            <w:tcW w:type="dxa" w:w="67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Blocked at a checkpoint gate; graph has exited and awaits resume_workflow()</w:t>
            </w:r>
          </w:p>
        </w:tc>
      </w:tr>
      <w:tr>
        <w:tc>
          <w:tcPr>
            <w:tcW w:type="dxa" w:w="26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completed</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finalize node has run; final_output is populated</w:t>
            </w:r>
          </w:p>
        </w:tc>
      </w:tr>
      <w:tr>
        <w:tc>
          <w:tcPr>
            <w:tcW w:type="dxa" w:w="26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failed</w:t>
            </w:r>
          </w:p>
        </w:tc>
        <w:tc>
          <w:tcPr>
            <w:tcW w:type="dxa" w:w="67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Unrecoverable error: iteration limit exceeded, checkpoint rejected, or explicit failure</w:t>
            </w:r>
          </w:p>
        </w:tc>
      </w:tr>
      <w:tr>
        <w:tc>
          <w:tcPr>
            <w:tcW w:type="dxa" w:w="26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dead_letter</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Agent exhausted MAX_RETRIES (3) on all tool calls; workflow cannot progress</w:t>
            </w:r>
          </w:p>
        </w:tc>
      </w:tr>
    </w:tbl>
    <w:p>
      <w:pPr>
        <w:spacing w:after="0" w:before="0"/>
      </w:pPr>
      <w:r>
        <w:t xml:space="preserve"/>
      </w:r>
    </w:p>
    <w:p>
      <w:pPr>
        <w:spacing w:after="0" w:before="0"/>
      </w:pPr>
      <w:r>
        <w:br w:type="page"/>
      </w:r>
    </w:p>
    <w:p>
      <w:pPr>
        <w:pStyle w:val="Heading1"/>
        <w:spacing w:after="160" w:before="360"/>
      </w:pPr>
      <w:r>
        <w:rPr>
          <w:rFonts w:ascii="Arial" w:cs="Arial" w:eastAsia="Arial" w:hAnsi="Arial"/>
          <w:b/>
          <w:bCs/>
          <w:i w:val="false"/>
          <w:iCs w:val="false"/>
          <w:color w:val="1B3A5C"/>
          <w:sz w:val="30"/>
          <w:szCs w:val="30"/>
        </w:rPr>
        <w:t xml:space="preserve">5. Integration Points</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5.1 Integration Inventory</w:t>
      </w:r>
    </w:p>
    <w:p>
      <w:pPr>
        <w:spacing w:after="80" w:before="80"/>
        <w:jc w:val="left"/>
      </w:pPr>
      <w:r>
        <w:rPr>
          <w:rFonts w:ascii="Arial" w:cs="Arial" w:eastAsia="Arial" w:hAnsi="Arial"/>
          <w:b w:val="false"/>
          <w:bCs w:val="false"/>
          <w:i w:val="false"/>
          <w:iCs w:val="false"/>
          <w:color w:val="2C2C2C"/>
          <w:sz w:val="20"/>
          <w:szCs w:val="20"/>
        </w:rPr>
        <w:t xml:space="preserve">All external integrations are abstracted behind tool functions within each agent. The integration point pattern is: the agent calls a private _tool_xxx() method which contains a clear INTEGRATION POINT comment, stub return for dev mode, and instruction for the real implementation. This keeps agents testable without live external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Integration</w:t>
            </w:r>
          </w:p>
        </w:tc>
        <w:tc>
          <w:tcPr>
            <w:tcW w:type="dxa" w:w="16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Agent</w:t>
            </w:r>
          </w:p>
        </w:tc>
        <w:tc>
          <w:tcPr>
            <w:tcW w:type="dxa" w:w="20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Method</w:t>
            </w:r>
          </w:p>
        </w:tc>
        <w:tc>
          <w:tcPr>
            <w:tcW w:type="dxa" w:w="35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Implementation target</w:t>
            </w:r>
          </w:p>
        </w:tc>
      </w:tr>
      <w:tr>
        <w:tc>
          <w:tcPr>
            <w:tcW w:type="dxa" w:w="2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SAP spend extract</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SCA</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_tool_sap_spend_extract</w:t>
            </w:r>
          </w:p>
        </w:tc>
        <w:tc>
          <w:tcPr>
            <w:tcW w:type="dxa" w:w="3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tools/sap.py — SAPSpendClient</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SAP vendor master</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CSA</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_tool_onboard_supplier</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tools/sap.py — SAPVendorMaster</w:t>
            </w:r>
          </w:p>
        </w:tc>
      </w:tr>
      <w:tr>
        <w:tc>
          <w:tcPr>
            <w:tcW w:type="dxa" w:w="2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Aurora PostgreSQL ASL</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SMA</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_load_asl</w:t>
            </w:r>
          </w:p>
        </w:tc>
        <w:tc>
          <w:tcPr>
            <w:tcW w:type="dxa" w:w="3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tools/delta.py — DeltaReader.query_asl</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Aurora PostgreSQL checkpoints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ORCH</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save_checkpoint</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checkpoints/delta.py (implemented)</w:t>
            </w:r>
          </w:p>
        </w:tc>
      </w:tr>
      <w:tr>
        <w:tc>
          <w:tcPr>
            <w:tcW w:type="dxa" w:w="2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Aurora PostgreSQL dead-letters</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ORCH</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append_dead_letter</w:t>
            </w:r>
          </w:p>
        </w:tc>
        <w:tc>
          <w:tcPr>
            <w:tcW w:type="dxa" w:w="3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checkpoints/delta.py (implemented)</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Supplier portal / bids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SEA</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_tool_collect_bids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tools/supplier_portal.py — SupplierPortal</w:t>
            </w:r>
          </w:p>
        </w:tc>
      </w:tr>
      <w:tr>
        <w:tc>
          <w:tcPr>
            <w:tcW w:type="dxa" w:w="2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DocuSign / contract exec</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CSA</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_tool_execute_contract</w:t>
            </w:r>
          </w:p>
        </w:tc>
        <w:tc>
          <w:tcPr>
            <w:tcW w:type="dxa" w:w="3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tools/docusign.py — DocuSignClient</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D&amp;B financial data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SMA</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_build_market_brief</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Inject into LLM prompt via D&amp;B API</w:t>
            </w:r>
          </w:p>
        </w:tc>
      </w:tr>
      <w:tr>
        <w:tc>
          <w:tcPr>
            <w:tcW w:type="dxa" w:w="2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EDI connectivity check</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CSA</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_onboard_supplier</w:t>
            </w:r>
          </w:p>
        </w:tc>
        <w:tc>
          <w:tcPr>
            <w:tcW w:type="dxa" w:w="3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tools/edi.py — EDIConnector</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AMOS BOM data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SEA</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_bom_cost_down</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tools/amos.py — AMOSBOMClient</w:t>
            </w:r>
          </w:p>
        </w:tc>
      </w:tr>
    </w:tbl>
    <w:p>
      <w:pPr>
        <w:spacing w:after="0" w:before="0"/>
      </w:pPr>
      <w:r>
        <w:t xml:space="preserve"/>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5.2 LLM Client (llm.py)</w:t>
      </w:r>
    </w:p>
    <w:p>
      <w:pPr>
        <w:spacing w:after="80" w:before="80"/>
        <w:jc w:val="left"/>
      </w:pPr>
      <w:r>
        <w:rPr>
          <w:rFonts w:ascii="Arial" w:cs="Arial" w:eastAsia="Arial" w:hAnsi="Arial"/>
          <w:b w:val="false"/>
          <w:bCs w:val="false"/>
          <w:i w:val="false"/>
          <w:iCs w:val="false"/>
          <w:color w:val="2C2C2C"/>
          <w:sz w:val="20"/>
          <w:szCs w:val="20"/>
        </w:rPr>
        <w:t xml:space="preserve">All LLM calls route through two functions in agt_ss/agents/llm.py:</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reason(system, user, max_tokens) — temperature 0.4, for prose and narrative outputs (strategy briefs, rationale, roadmap summaries)</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extract_json(system, user, max_tokens) — temperature 0.2, strictly enforces JSON-only output, strips markdown fences, and raises ValueError on parse failure</w:t>
      </w:r>
    </w:p>
    <w:p>
      <w:pPr>
        <w:spacing w:after="80" w:before="80"/>
        <w:jc w:val="left"/>
      </w:pPr>
      <w:r>
        <w:rPr>
          <w:rFonts w:ascii="Arial" w:cs="Arial" w:eastAsia="Arial" w:hAnsi="Arial"/>
          <w:b w:val="false"/>
          <w:bCs w:val="false"/>
          <w:i w:val="false"/>
          <w:iCs w:val="false"/>
          <w:color w:val="2C2C2C"/>
          <w:sz w:val="20"/>
          <w:szCs w:val="20"/>
        </w:rPr>
        <w:t xml:space="preserve">Model: claude-sonnet-4-20250514. Every LLM call has a try/except block in the calling agent method, with a documented fallback. Agents must never fail silently if the LLM returns malformed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2E6DA4" w:sz="8"/>
              <w:left w:val="single" w:color="2E6DA4" w:sz="8"/>
              <w:bottom w:val="single" w:color="2E6DA4" w:sz="8"/>
              <w:right w:val="nil"/>
            </w:tcBorders>
            <w:shd w:fill="D5E8F0"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6DA4"/>
                <w:sz w:val="22"/>
                <w:szCs w:val="22"/>
              </w:rPr>
              <w:t xml:space="preserve">ℹ</w:t>
            </w:r>
          </w:p>
        </w:tc>
        <w:tc>
          <w:tcPr>
            <w:tcW w:type="dxa" w:w="9080"/>
            <w:tcBorders>
              <w:top w:val="single" w:color="2E6DA4" w:sz="8"/>
              <w:left w:val="nil"/>
              <w:bottom w:val="single" w:color="2E6DA4" w:sz="8"/>
              <w:right w:val="single" w:color="2E6DA4" w:sz="8"/>
            </w:tcBorders>
            <w:shd w:fill="D5E8F0" w:val="clear"/>
            <w:tcMar>
              <w:top w:type="dxa" w:w="100"/>
              <w:left w:type="dxa" w:w="140"/>
              <w:bottom w:type="dxa" w:w="100"/>
              <w:right w:type="dxa" w:w="140"/>
            </w:tcMar>
            <w:vAlign w:val="top"/>
          </w:tcPr>
          <w:p>
            <w:pPr>
              <w:spacing w:after="20" w:before="40"/>
              <w:jc w:val="left"/>
            </w:pPr>
            <w:r>
              <w:rPr>
                <w:rFonts w:ascii="Arial" w:cs="Arial" w:eastAsia="Arial" w:hAnsi="Arial"/>
                <w:b/>
                <w:bCs/>
                <w:i w:val="false"/>
                <w:iCs w:val="false"/>
                <w:color w:val="2E6DA4"/>
                <w:sz w:val="19"/>
                <w:szCs w:val="19"/>
              </w:rPr>
              <w:t xml:space="preserve">Amazon Bedrock fallback</w:t>
            </w:r>
          </w:p>
          <w:p>
            <w:pPr>
              <w:spacing w:after="40" w:before="80"/>
              <w:jc w:val="left"/>
            </w:pPr>
            <w:r>
              <w:rPr>
                <w:rFonts w:ascii="Arial" w:cs="Arial" w:eastAsia="Arial" w:hAnsi="Arial"/>
                <w:b w:val="false"/>
                <w:bCs w:val="false"/>
                <w:i w:val="false"/>
                <w:iCs w:val="false"/>
                <w:color w:val="2C2C2C"/>
                <w:sz w:val="19"/>
                <w:szCs w:val="19"/>
              </w:rPr>
              <w:t xml:space="preserve">When ANTHROPIC_API_KEY is unavailable, the system can fall back to Amazon Bedrock via the boto3 SDK. Set the LLM client to use the Bedrock runtime endpoint with an appropriate model ID (e.g., anthropic.claude-3-sonnet). Ensure the agt_ss_agent IAM role has bedrock:InvokeModel permissions on the target model ARN.</w:t>
            </w:r>
          </w:p>
        </w:tc>
      </w:tr>
    </w:tbl>
    <w:p>
      <w:pPr>
        <w:spacing w:after="0" w:before="0"/>
      </w:pPr>
      <w:r>
        <w:t xml:space="preserve"/>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5.3 Aurora PostgreSQL Schema</w:t>
      </w:r>
    </w:p>
    <w:p>
      <w:pPr>
        <w:spacing w:after="80" w:before="80"/>
        <w:jc w:val="left"/>
      </w:pPr>
      <w:r>
        <w:rPr>
          <w:rFonts w:ascii="Arial" w:cs="Arial" w:eastAsia="Arial" w:hAnsi="Arial"/>
          <w:b w:val="false"/>
          <w:bCs w:val="false"/>
          <w:i w:val="false"/>
          <w:iCs w:val="false"/>
          <w:color w:val="2C2C2C"/>
          <w:sz w:val="20"/>
          <w:szCs w:val="20"/>
        </w:rPr>
        <w:t xml:space="preserve">Three tables are required in the agt_ss Aurora PostgreSQL database (or overridden via DB_NAME and DB_SCHEMA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Table</w:t>
            </w:r>
          </w:p>
        </w:tc>
        <w:tc>
          <w:tcPr>
            <w:tcW w:type="dxa" w:w="20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Key columns</w:t>
            </w:r>
          </w:p>
        </w:tc>
        <w:tc>
          <w:tcPr>
            <w:tcW w:type="dxa" w:w="43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Purpose</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agt_ss.workflow_checkpoints</w:t>
            </w:r>
          </w:p>
        </w:tc>
        <w:tc>
          <w:tcPr>
            <w:tcW w:type="dxa" w:w="20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workflow_id (PK), payload, updated_at</w:t>
            </w:r>
          </w:p>
        </w:tc>
        <w:tc>
          <w:tcPr>
            <w:tcW w:type="dxa" w:w="4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Full WorkflowState JSON; MERGE on workflow_id for upsert</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agt_ss.dead_letters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workflow_id, agent, timestamp</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Append-only dead-letter records for failed tool calls</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agt_ss.approved_suppliers</w:t>
            </w:r>
          </w:p>
        </w:tc>
        <w:tc>
          <w:tcPr>
            <w:tcW w:type="dxa" w:w="20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supplier_id (PK), category, status</w:t>
            </w:r>
          </w:p>
        </w:tc>
        <w:tc>
          <w:tcPr>
            <w:tcW w:type="dxa" w:w="4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ASL with qualification scores and sustainability ratings</w:t>
            </w:r>
          </w:p>
        </w:tc>
      </w:tr>
    </w:tbl>
    <w:p>
      <w:pPr>
        <w:spacing w:after="0" w:before="0"/>
      </w:pPr>
      <w:r>
        <w:t xml:space="preserve"/>
      </w:r>
    </w:p>
    <w:p>
      <w:pPr>
        <w:spacing w:after="0" w:before="0"/>
      </w:pPr>
      <w:r>
        <w:br w:type="page"/>
      </w:r>
    </w:p>
    <w:p>
      <w:pPr>
        <w:pStyle w:val="Heading1"/>
        <w:spacing w:after="160" w:before="360"/>
      </w:pPr>
      <w:r>
        <w:rPr>
          <w:rFonts w:ascii="Arial" w:cs="Arial" w:eastAsia="Arial" w:hAnsi="Arial"/>
          <w:b/>
          <w:bCs/>
          <w:i w:val="false"/>
          <w:iCs w:val="false"/>
          <w:color w:val="1B3A5C"/>
          <w:sz w:val="30"/>
          <w:szCs w:val="30"/>
        </w:rPr>
        <w:t xml:space="preserve">6. API Reference</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6.1 Public Entry Points</w:t>
      </w:r>
    </w:p>
    <w:p>
      <w:pPr>
        <w:pStyle w:val="Heading3"/>
        <w:spacing w:after="80" w:before="200"/>
      </w:pPr>
      <w:r>
        <w:rPr>
          <w:rFonts w:ascii="Arial" w:cs="Arial" w:eastAsia="Arial" w:hAnsi="Arial"/>
          <w:b/>
          <w:bCs/>
          <w:i w:val="false"/>
          <w:iCs w:val="false"/>
          <w:color w:val="4A90C4"/>
          <w:sz w:val="22"/>
          <w:szCs w:val="22"/>
        </w:rPr>
        <w:t xml:space="preserve">run_workflow()</w:t>
      </w:r>
    </w:p>
    <w:p>
      <w:pPr>
        <w:spacing w:after="80" w:before="80"/>
        <w:jc w:val="left"/>
      </w:pPr>
      <w:r>
        <w:rPr>
          <w:rFonts w:ascii="Arial" w:cs="Arial" w:eastAsia="Arial" w:hAnsi="Arial"/>
          <w:b w:val="false"/>
          <w:bCs w:val="false"/>
          <w:i w:val="false"/>
          <w:iCs w:val="false"/>
          <w:color w:val="2C2C2C"/>
          <w:sz w:val="20"/>
          <w:szCs w:val="20"/>
        </w:rPr>
        <w:t xml:space="preserve">Starts a new sourcing workflow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Parameter</w:t>
            </w:r>
          </w:p>
        </w:tc>
        <w:tc>
          <w:tcPr>
            <w:tcW w:type="dxa" w:w="16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Type</w:t>
            </w:r>
          </w:p>
        </w:tc>
        <w:tc>
          <w:tcPr>
            <w:tcW w:type="dxa" w:w="12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Required</w:t>
            </w:r>
          </w:p>
        </w:tc>
        <w:tc>
          <w:tcPr>
            <w:tcW w:type="dxa" w:w="41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goal</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str</w:t>
            </w:r>
          </w:p>
        </w:tc>
        <w:tc>
          <w:tcPr>
            <w:tcW w:type="dxa" w:w="1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Yes</w:t>
            </w:r>
          </w:p>
        </w:tc>
        <w:tc>
          <w:tcPr>
            <w:tcW w:type="dxa" w:w="41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Natural-language sourcing goal; drives LLM prompts throughout</w:t>
            </w:r>
          </w:p>
        </w:tc>
      </w:tr>
      <w:tr>
        <w:tc>
          <w:tcPr>
            <w:tcW w:type="dxa" w:w="2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category</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str | None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No</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Primary spend category label; defaults to 'all'</w:t>
            </w:r>
          </w:p>
        </w:tc>
      </w:tr>
      <w:tr>
        <w:tc>
          <w:tcPr>
            <w:tcW w:type="dxa" w:w="2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budget</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float | None</w:t>
            </w:r>
          </w:p>
        </w:tc>
        <w:tc>
          <w:tcPr>
            <w:tcW w:type="dxa" w:w="1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No</w:t>
            </w:r>
          </w:p>
        </w:tc>
        <w:tc>
          <w:tcPr>
            <w:tcW w:type="dxa" w:w="41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Budget target in USD; informs negotiation walk-away price</w:t>
            </w:r>
          </w:p>
        </w:tc>
      </w:tr>
      <w:tr>
        <w:tc>
          <w:tcPr>
            <w:tcW w:type="dxa" w:w="2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timeline_days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int | None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No</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Desired completion timeline; used in event package key dates</w:t>
            </w:r>
          </w:p>
        </w:tc>
      </w:tr>
      <w:tr>
        <w:tc>
          <w:tcPr>
            <w:tcW w:type="dxa" w:w="2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context</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dict | None</w:t>
            </w:r>
          </w:p>
        </w:tc>
        <w:tc>
          <w:tcPr>
            <w:tcW w:type="dxa" w:w="1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No</w:t>
            </w:r>
          </w:p>
        </w:tc>
        <w:tc>
          <w:tcPr>
            <w:tcW w:type="dxa" w:w="41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Arbitrary additional inputs; see Section 4 for recognised keys</w:t>
            </w:r>
          </w:p>
        </w:tc>
      </w:tr>
    </w:tbl>
    <w:p>
      <w:pPr>
        <w:spacing w:after="0" w:before="0"/>
      </w:pPr>
      <w:r>
        <w:t xml:space="preserve"/>
      </w:r>
    </w:p>
    <w:p>
      <w:pPr>
        <w:spacing w:after="80" w:before="80"/>
        <w:jc w:val="left"/>
      </w:pPr>
      <w:r>
        <w:rPr>
          <w:rFonts w:ascii="Arial" w:cs="Arial" w:eastAsia="Arial" w:hAnsi="Arial"/>
          <w:b w:val="false"/>
          <w:bCs w:val="false"/>
          <w:i w:val="false"/>
          <w:iCs w:val="false"/>
          <w:color w:val="2C2C2C"/>
          <w:sz w:val="20"/>
          <w:szCs w:val="20"/>
        </w:rPr>
        <w:t xml:space="preserve">Returns: final WorkflowState dict. If status is awaiting_human, the caller must call resume_workflow() after obtaining human approval.</w:t>
      </w:r>
    </w:p>
    <w:p>
      <w:pPr>
        <w:pStyle w:val="Heading3"/>
        <w:spacing w:after="80" w:before="200"/>
      </w:pPr>
      <w:r>
        <w:rPr>
          <w:rFonts w:ascii="Arial" w:cs="Arial" w:eastAsia="Arial" w:hAnsi="Arial"/>
          <w:b/>
          <w:bCs/>
          <w:i w:val="false"/>
          <w:iCs w:val="false"/>
          <w:color w:val="4A90C4"/>
          <w:sz w:val="22"/>
          <w:szCs w:val="22"/>
        </w:rPr>
        <w:t xml:space="preserve">resume_workflow()</w:t>
      </w:r>
    </w:p>
    <w:p>
      <w:pPr>
        <w:spacing w:after="80" w:before="80"/>
        <w:jc w:val="left"/>
      </w:pPr>
      <w:r>
        <w:rPr>
          <w:rFonts w:ascii="Arial" w:cs="Arial" w:eastAsia="Arial" w:hAnsi="Arial"/>
          <w:b w:val="false"/>
          <w:bCs w:val="false"/>
          <w:i w:val="false"/>
          <w:iCs w:val="false"/>
          <w:color w:val="2C2C2C"/>
          <w:sz w:val="20"/>
          <w:szCs w:val="20"/>
        </w:rPr>
        <w:t xml:space="preserve">Resumes a workflow parked at a human checkpoint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Parameter</w:t>
            </w:r>
          </w:p>
        </w:tc>
        <w:tc>
          <w:tcPr>
            <w:tcW w:type="dxa" w:w="16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Type</w:t>
            </w:r>
          </w:p>
        </w:tc>
        <w:tc>
          <w:tcPr>
            <w:tcW w:type="dxa" w:w="12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Required</w:t>
            </w:r>
          </w:p>
        </w:tc>
        <w:tc>
          <w:tcPr>
            <w:tcW w:type="dxa" w:w="41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workflow_id</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str</w:t>
            </w:r>
          </w:p>
        </w:tc>
        <w:tc>
          <w:tcPr>
            <w:tcW w:type="dxa" w:w="12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Yes</w:t>
            </w:r>
          </w:p>
        </w:tc>
        <w:tc>
          <w:tcPr>
            <w:tcW w:type="dxa" w:w="41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UUID from a prior run_workflow() call</w:t>
            </w:r>
          </w:p>
        </w:tc>
      </w:tr>
      <w:tr>
        <w:tc>
          <w:tcPr>
            <w:tcW w:type="dxa" w:w="2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checkpoint_decision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dict</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Yes</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Must contain: gate (str), decision ('approved'|'rejected'|'modified'), approved_by (str), notes (str, optional)</w:t>
            </w:r>
          </w:p>
        </w:tc>
      </w:tr>
    </w:tbl>
    <w:p>
      <w:pPr>
        <w:spacing w:after="0" w:before="0"/>
      </w:pPr>
      <w:r>
        <w:t xml:space="preserve"/>
      </w:r>
    </w:p>
    <w:p>
      <w:pPr>
        <w:spacing w:after="80" w:before="80"/>
        <w:jc w:val="left"/>
      </w:pPr>
      <w:r>
        <w:rPr>
          <w:rFonts w:ascii="Arial" w:cs="Arial" w:eastAsia="Arial" w:hAnsi="Arial"/>
          <w:b w:val="false"/>
          <w:bCs w:val="false"/>
          <w:i w:val="false"/>
          <w:iCs w:val="false"/>
          <w:color w:val="2C2C2C"/>
          <w:sz w:val="20"/>
          <w:szCs w:val="20"/>
        </w:rPr>
        <w:t xml:space="preserve">Raises ValueError if the workflow is not in AWAITING_HUMAN status. If decision is 'rejected', the workflow transitions to FAILED with the rejection recorded in checkpoint_history.</w:t>
      </w:r>
    </w:p>
    <w:p>
      <w:pPr>
        <w:pStyle w:val="Heading3"/>
        <w:spacing w:after="80" w:before="200"/>
      </w:pPr>
      <w:r>
        <w:rPr>
          <w:rFonts w:ascii="Arial" w:cs="Arial" w:eastAsia="Arial" w:hAnsi="Arial"/>
          <w:b/>
          <w:bCs/>
          <w:i w:val="false"/>
          <w:iCs w:val="false"/>
          <w:color w:val="4A90C4"/>
          <w:sz w:val="22"/>
          <w:szCs w:val="22"/>
        </w:rPr>
        <w:t xml:space="preserve">build_graph()</w:t>
      </w:r>
    </w:p>
    <w:p>
      <w:pPr>
        <w:spacing w:after="80" w:before="80"/>
        <w:jc w:val="left"/>
      </w:pPr>
      <w:r>
        <w:rPr>
          <w:rFonts w:ascii="Arial" w:cs="Arial" w:eastAsia="Arial" w:hAnsi="Arial"/>
          <w:b w:val="false"/>
          <w:bCs w:val="false"/>
          <w:i w:val="false"/>
          <w:iCs w:val="false"/>
          <w:color w:val="2C2C2C"/>
          <w:sz w:val="20"/>
          <w:szCs w:val="20"/>
        </w:rPr>
        <w:t xml:space="preserve">Returns the compiled LangGraph StateGraph for direct use in Python scripts, AWS Lambda, or ECS task wrappers. The returned graph supports both .invoke() (synchronous) and .stream() (event-by-event streaming for monitoring dashboards).</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6.2 Context Keys Reference</w:t>
      </w:r>
    </w:p>
    <w:p>
      <w:pPr>
        <w:spacing w:after="80" w:before="80"/>
        <w:jc w:val="left"/>
      </w:pPr>
      <w:r>
        <w:rPr>
          <w:rFonts w:ascii="Arial" w:cs="Arial" w:eastAsia="Arial" w:hAnsi="Arial"/>
          <w:b w:val="false"/>
          <w:bCs w:val="false"/>
          <w:i w:val="false"/>
          <w:iCs w:val="false"/>
          <w:color w:val="2C2C2C"/>
          <w:sz w:val="20"/>
          <w:szCs w:val="20"/>
        </w:rPr>
        <w:t xml:space="preserve">The context dict passed to run_workflow() supports the following recognised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Key</w:t>
            </w:r>
          </w:p>
        </w:tc>
        <w:tc>
          <w:tcPr>
            <w:tcW w:type="dxa" w:w="59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Purpose</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spend_data</w:t>
            </w:r>
          </w:p>
        </w:tc>
        <w:tc>
          <w:tcPr>
            <w:tcW w:type="dxa" w:w="5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Inject PO rows directly; bypasses SAP extract (list of dicts)</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lookback_months</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SAP extract window, default 24</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industry</w:t>
            </w:r>
          </w:p>
        </w:tc>
        <w:tc>
          <w:tcPr>
            <w:tcW w:type="dxa" w:w="5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Industry context string for LLM prompts, default 'aerospace / defense'</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existing_asl</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Inject existing approved supplier list; bypasses Aurora PostgreSQL ASL read</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supplier_candidates</w:t>
            </w:r>
          </w:p>
        </w:tc>
        <w:tc>
          <w:tcPr>
            <w:tcW w:type="dxa" w:w="5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Manual supplier candidate list to merge into ASL qualification</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bid_responses</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Inject supplier bids directly; bypasses supplier portal polling</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target_unit_price</w:t>
            </w:r>
          </w:p>
        </w:tc>
        <w:tc>
          <w:tcPr>
            <w:tcW w:type="dxa" w:w="5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Used to generate synthetic bids when portal not wired</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annual_volume_units</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Annual unit volume for TCO and landed cost calculations</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contract_years</w:t>
            </w:r>
          </w:p>
        </w:tc>
        <w:tc>
          <w:tcPr>
            <w:tcW w:type="dxa" w:w="5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Contract duration for TCO amortisation, default 3</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rework_cost_per_unit</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Quality cost model input, default $15</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disruption_cost_per_day</w:t>
            </w:r>
          </w:p>
        </w:tc>
        <w:tc>
          <w:tcPr>
            <w:tcW w:type="dxa" w:w="5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Risk model input for supply disruption, default $5,000</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event_type_override</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Force a specific event type (RFI/RFQ/RFP/reverse_auction)</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make_vs_buy_required</w:t>
            </w:r>
          </w:p>
        </w:tc>
        <w:tc>
          <w:tcPr>
            <w:tcW w:type="dxa" w:w="5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Boolean; triggers make-vs-buy analysis in SpendCategoryAgent</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make_vs_buy_categories</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List of category labels for make-vs-buy; defaults to primary category</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bom_cost_down_required</w:t>
            </w:r>
          </w:p>
        </w:tc>
        <w:tc>
          <w:tcPr>
            <w:tcW w:type="dxa" w:w="5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Boolean; triggers BOM cost-down analysis in SourcingExecutionAgent</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skip_docusign</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Boolean; marks contract 'executed' without DocuSign routing (dev/test)</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actuals_data</w:t>
            </w:r>
          </w:p>
        </w:tc>
        <w:tc>
          <w:tcPr>
            <w:tcW w:type="dxa" w:w="5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Inject actual PO price rows for PPV computation</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budget_data</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Budget price dict by category for PPV comparison</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prior_year_data</w:t>
            </w:r>
          </w:p>
        </w:tc>
        <w:tc>
          <w:tcPr>
            <w:tcW w:type="dxa" w:w="5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Prior year price dict by category for YoY PPV</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maturity_assessment_required</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Boolean; triggers maturity roadmap generation (default True)</w:t>
            </w:r>
          </w:p>
        </w:tc>
      </w:tr>
      <w:tr>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signatories</w:t>
            </w:r>
          </w:p>
        </w:tc>
        <w:tc>
          <w:tcPr>
            <w:tcW w:type="dxa" w:w="5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List of DocuSign signatory email addresses</w:t>
            </w:r>
          </w:p>
        </w:tc>
      </w:tr>
    </w:tbl>
    <w:p>
      <w:pPr>
        <w:spacing w:after="0" w:before="0"/>
      </w:pPr>
      <w:r>
        <w:t xml:space="preserve"/>
      </w:r>
    </w:p>
    <w:p>
      <w:pPr>
        <w:spacing w:after="0" w:before="0"/>
      </w:pPr>
      <w:r>
        <w:br w:type="page"/>
      </w:r>
    </w:p>
    <w:p>
      <w:pPr>
        <w:pStyle w:val="Heading1"/>
        <w:spacing w:after="160" w:before="360"/>
      </w:pPr>
      <w:r>
        <w:rPr>
          <w:rFonts w:ascii="Arial" w:cs="Arial" w:eastAsia="Arial" w:hAnsi="Arial"/>
          <w:b/>
          <w:bCs/>
          <w:i w:val="false"/>
          <w:iCs w:val="false"/>
          <w:color w:val="1B3A5C"/>
          <w:sz w:val="30"/>
          <w:szCs w:val="30"/>
        </w:rPr>
        <w:t xml:space="preserve">7. Error Handling and Observability</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7.1 Retry and Dead-Letter Strategy</w:t>
      </w:r>
    </w:p>
    <w:p>
      <w:pPr>
        <w:spacing w:after="80" w:before="80"/>
        <w:jc w:val="left"/>
      </w:pPr>
      <w:r>
        <w:rPr>
          <w:rFonts w:ascii="Arial" w:cs="Arial" w:eastAsia="Arial" w:hAnsi="Arial"/>
          <w:b w:val="false"/>
          <w:bCs w:val="false"/>
          <w:i w:val="false"/>
          <w:iCs w:val="false"/>
          <w:color w:val="2C2C2C"/>
          <w:sz w:val="20"/>
          <w:szCs w:val="20"/>
        </w:rPr>
        <w:t xml:space="preserve">BaseAgent.run() wraps _execute() in a retry loop with MAX_RETRIES = 3. Both AgentToolError and unexpected exceptions are caught and logged per attempt. After the third failure, an AgentToolError is raised to the orchestrator's _run_agent() handler, which writes a DeadLetterRecord to the dead-letter Delta table and transitions the workflow to DEAD_LETTER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2E6DA4" w:sz="8"/>
              <w:left w:val="single" w:color="2E6DA4" w:sz="8"/>
              <w:bottom w:val="single" w:color="2E6DA4" w:sz="8"/>
              <w:right w:val="nil"/>
            </w:tcBorders>
            <w:shd w:fill="D5E8F0"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6DA4"/>
                <w:sz w:val="22"/>
                <w:szCs w:val="22"/>
              </w:rPr>
              <w:t xml:space="preserve">ℹ</w:t>
            </w:r>
          </w:p>
        </w:tc>
        <w:tc>
          <w:tcPr>
            <w:tcW w:type="dxa" w:w="9080"/>
            <w:tcBorders>
              <w:top w:val="single" w:color="2E6DA4" w:sz="8"/>
              <w:left w:val="nil"/>
              <w:bottom w:val="single" w:color="2E6DA4" w:sz="8"/>
              <w:right w:val="single" w:color="2E6DA4" w:sz="8"/>
            </w:tcBorders>
            <w:shd w:fill="D5E8F0" w:val="clear"/>
            <w:tcMar>
              <w:top w:type="dxa" w:w="100"/>
              <w:left w:type="dxa" w:w="140"/>
              <w:bottom w:type="dxa" w:w="100"/>
              <w:right w:type="dxa" w:w="140"/>
            </w:tcMar>
            <w:vAlign w:val="top"/>
          </w:tcPr>
          <w:p>
            <w:pPr>
              <w:spacing w:after="20" w:before="40"/>
              <w:jc w:val="left"/>
            </w:pPr>
            <w:r>
              <w:rPr>
                <w:rFonts w:ascii="Arial" w:cs="Arial" w:eastAsia="Arial" w:hAnsi="Arial"/>
                <w:b/>
                <w:bCs/>
                <w:i w:val="false"/>
                <w:iCs w:val="false"/>
                <w:color w:val="2E6DA4"/>
                <w:sz w:val="19"/>
                <w:szCs w:val="19"/>
              </w:rPr>
              <w:t xml:space="preserve">Dead-letter record fields</w:t>
            </w:r>
          </w:p>
          <w:p>
            <w:pPr>
              <w:spacing w:after="40" w:before="80"/>
              <w:jc w:val="left"/>
            </w:pPr>
            <w:r>
              <w:rPr>
                <w:rFonts w:ascii="Arial" w:cs="Arial" w:eastAsia="Arial" w:hAnsi="Arial"/>
                <w:b w:val="false"/>
                <w:bCs w:val="false"/>
                <w:i w:val="false"/>
                <w:iCs w:val="false"/>
                <w:color w:val="2C2C2C"/>
                <w:sz w:val="19"/>
                <w:szCs w:val="19"/>
              </w:rPr>
              <w:t xml:space="preserve">workflow_id, agent (AgentName), tool_call (method name), error (exception str), attempt (int 1-3), timestamp (ISO), payload (dict with request context for replay).</w:t>
            </w:r>
          </w:p>
        </w:tc>
      </w:tr>
    </w:tbl>
    <w:p>
      <w:pPr>
        <w:spacing w:after="0" w:before="0"/>
      </w:pPr>
      <w:r>
        <w:t xml:space="preserve"/>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7.2 LLM Failure Fallbacks</w:t>
      </w:r>
    </w:p>
    <w:p>
      <w:pPr>
        <w:spacing w:after="80" w:before="80"/>
        <w:jc w:val="left"/>
      </w:pPr>
      <w:r>
        <w:rPr>
          <w:rFonts w:ascii="Arial" w:cs="Arial" w:eastAsia="Arial" w:hAnsi="Arial"/>
          <w:b w:val="false"/>
          <w:bCs w:val="false"/>
          <w:i w:val="false"/>
          <w:iCs w:val="false"/>
          <w:color w:val="2C2C2C"/>
          <w:sz w:val="20"/>
          <w:szCs w:val="20"/>
        </w:rPr>
        <w:t xml:space="preserve">Every LLM call in every agent is wrapped in try/except. The fallback contract is:</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extract_json failures: return a minimal structurally-correct dict with sentinel values (0.0 scores, empty lists, 'pending' statuses)</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reason failures: return a templated string constructed from the available numeric inputs</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Agents must never raise on LLM failure — they degrade gracefully and continue producing output</w:t>
      </w:r>
    </w:p>
    <w:p>
      <w:pPr>
        <w:spacing w:after="80" w:before="80"/>
        <w:jc w:val="left"/>
      </w:pPr>
      <w:r>
        <w:rPr>
          <w:rFonts w:ascii="Arial" w:cs="Arial" w:eastAsia="Arial" w:hAnsi="Arial"/>
          <w:b w:val="false"/>
          <w:bCs w:val="false"/>
          <w:i w:val="false"/>
          <w:iCs w:val="false"/>
          <w:color w:val="2C2C2C"/>
          <w:sz w:val="20"/>
          <w:szCs w:val="20"/>
        </w:rPr>
        <w:t xml:space="preserve">This ensures the orchestrator always receives a mergeable partial state, even when all LLM calls in an agent fail.</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7.3 Audit Log</w:t>
      </w:r>
    </w:p>
    <w:p>
      <w:pPr>
        <w:spacing w:after="80" w:before="80"/>
        <w:jc w:val="left"/>
      </w:pPr>
      <w:r>
        <w:rPr>
          <w:rFonts w:ascii="Arial" w:cs="Arial" w:eastAsia="Arial" w:hAnsi="Arial"/>
          <w:b w:val="false"/>
          <w:bCs w:val="false"/>
          <w:i w:val="false"/>
          <w:iCs w:val="false"/>
          <w:color w:val="2C2C2C"/>
          <w:sz w:val="20"/>
          <w:szCs w:val="20"/>
        </w:rPr>
        <w:t xml:space="preserve">Every agent action is appended to state.audit_log before the checkpoint is written. Each entry contains: timestamp (ISO 8601 UTC), agent (AgentName string), action (e.g., 'completed', 'dead_letter', 'success'), and detail (free-form context string). The orchestrator also logs 'intake', 'route' (with next agent), and 'finalized' entries.</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7.4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Signal</w:t>
            </w:r>
          </w:p>
        </w:tc>
        <w:tc>
          <w:tcPr>
            <w:tcW w:type="dxa" w:w="65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Location and format</w:t>
            </w:r>
          </w:p>
        </w:tc>
      </w:tr>
      <w:tr>
        <w:tc>
          <w:tcPr>
            <w:tcW w:type="dxa" w:w="28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Structured logging</w:t>
            </w:r>
          </w:p>
        </w:tc>
        <w:tc>
          <w:tcPr>
            <w:tcW w:type="dxa" w:w="6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Python logging module at INFO/DEBUG/WARNING; structured JSON for AWS CloudWatch Logs forwarding</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Delta checkpoint</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Full WorkflowState JSON in agt_ss.workflow_checkpoints (Aurora) per state transition</w:t>
            </w:r>
          </w:p>
        </w:tc>
      </w:tr>
      <w:tr>
        <w:tc>
          <w:tcPr>
            <w:tcW w:type="dxa" w:w="28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Dead-letter table</w:t>
            </w:r>
          </w:p>
        </w:tc>
        <w:tc>
          <w:tcPr>
            <w:tcW w:type="dxa" w:w="6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Append-only records in agt_ss.dead_letters (Aurora); queryable via standard PostgreSQL or Amazon Athena</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Audit log</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state.audit_log list; persisted in checkpoint; queryable by exploding the JSON payload</w:t>
            </w:r>
          </w:p>
        </w:tc>
      </w:tr>
      <w:tr>
        <w:tc>
          <w:tcPr>
            <w:tcW w:type="dxa" w:w="28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Workflow status</w:t>
            </w:r>
          </w:p>
        </w:tc>
        <w:tc>
          <w:tcPr>
            <w:tcW w:type="dxa" w:w="6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state.status field; filter workflow_checkpoints WHERE payload-&gt;&gt;'status' = 'dead_letter' for CloudWatch alarm integration</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LangGraph streaming</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build_graph().stream(state) emits per-node events; wire to Streamlit on ECS or AWS AppRunner for live monitoring</w:t>
            </w:r>
          </w:p>
        </w:tc>
      </w:tr>
    </w:tbl>
    <w:p>
      <w:pPr>
        <w:spacing w:after="0" w:before="0"/>
      </w:pPr>
      <w:r>
        <w:t xml:space="preserve"/>
      </w:r>
    </w:p>
    <w:p>
      <w:pPr>
        <w:spacing w:after="0" w:before="0"/>
      </w:pPr>
      <w:r>
        <w:br w:type="page"/>
      </w:r>
    </w:p>
    <w:p>
      <w:pPr>
        <w:pStyle w:val="Heading1"/>
        <w:spacing w:after="160" w:before="360"/>
      </w:pPr>
      <w:r>
        <w:rPr>
          <w:rFonts w:ascii="Arial" w:cs="Arial" w:eastAsia="Arial" w:hAnsi="Arial"/>
          <w:b/>
          <w:bCs/>
          <w:i w:val="false"/>
          <w:iCs w:val="false"/>
          <w:color w:val="1B3A5C"/>
          <w:sz w:val="30"/>
          <w:szCs w:val="30"/>
        </w:rPr>
        <w:t xml:space="preserve">8. Testing</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8.1 Test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3240"/>
      </w:tblGrid>
      <w:tr>
        <w:tc>
          <w:tcPr>
            <w:tcW w:type="dxa" w:w="30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Module</w:t>
            </w:r>
          </w:p>
        </w:tc>
        <w:tc>
          <w:tcPr>
            <w:tcW w:type="dxa" w:w="15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Tests</w:t>
            </w:r>
          </w:p>
        </w:tc>
        <w:tc>
          <w:tcPr>
            <w:tcW w:type="dxa" w:w="15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Pass</w:t>
            </w:r>
          </w:p>
        </w:tc>
        <w:tc>
          <w:tcPr>
            <w:tcW w:type="dxa" w:w="324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Key assertions</w:t>
            </w:r>
          </w:p>
        </w:tc>
      </w:tr>
      <w:tr>
        <w:tc>
          <w:tcPr>
            <w:tcW w:type="dxa" w:w="30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Orchestrator (test_orchestrator.py)</w:t>
            </w:r>
          </w:p>
        </w:tc>
        <w:tc>
          <w:tcPr>
            <w:tcW w:type="dxa" w:w="1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24</w:t>
            </w:r>
          </w:p>
        </w:tc>
        <w:tc>
          <w:tcPr>
            <w:tcW w:type="dxa" w:w="1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24</w:t>
            </w:r>
          </w:p>
        </w:tc>
        <w:tc>
          <w:tcPr>
            <w:tcW w:type="dxa" w:w="324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State creation, routing, checkpoint gates, state merge, iteration guard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SpendCategoryAgent</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13</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13</w:t>
            </w:r>
          </w:p>
        </w:tc>
        <w:tc>
          <w:tcPr>
            <w:tcW w:type="dxa" w:w="3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Aggregate totals, spend share, Kraljic quadrants, tail spend Pareto, P-card, make-vs-buy</w:t>
            </w:r>
          </w:p>
        </w:tc>
      </w:tr>
      <w:tr>
        <w:tc>
          <w:tcPr>
            <w:tcW w:type="dxa" w:w="30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SupplierMarketAgent</w:t>
            </w:r>
          </w:p>
        </w:tc>
        <w:tc>
          <w:tcPr>
            <w:tcW w:type="dxa" w:w="1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7</w:t>
            </w:r>
          </w:p>
        </w:tc>
        <w:tc>
          <w:tcPr>
            <w:tcW w:type="dxa" w:w="1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7</w:t>
            </w:r>
          </w:p>
        </w:tc>
        <w:tc>
          <w:tcPr>
            <w:tcW w:type="dxa" w:w="324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TLC component sums, regional cost ordering, shortlist size/filters, supplier qualification</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SourcingExecutionAgent</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9</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9</w:t>
            </w:r>
          </w:p>
        </w:tc>
        <w:tc>
          <w:tcPr>
            <w:tcW w:type="dxa" w:w="3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Event type by quadrant, bid normalisation, TCO ranking, evaluation scoring, award winner</w:t>
            </w:r>
          </w:p>
        </w:tc>
      </w:tr>
      <w:tr>
        <w:tc>
          <w:tcPr>
            <w:tcW w:type="dxa" w:w="30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ContractSupplierAgent</w:t>
            </w:r>
          </w:p>
        </w:tc>
        <w:tc>
          <w:tcPr>
            <w:tcW w:type="dxa" w:w="1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10</w:t>
            </w:r>
          </w:p>
        </w:tc>
        <w:tc>
          <w:tcPr>
            <w:tcW w:type="dxa" w:w="15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10</w:t>
            </w:r>
          </w:p>
        </w:tc>
        <w:tc>
          <w:tcPr>
            <w:tcW w:type="dxa" w:w="324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Gate enforcement, negotiation price targets, clause presence, contract ID format, onboarding</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AnalyticsGovernanceAgent</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12</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19"/>
                <w:szCs w:val="19"/>
              </w:rPr>
              <w:t xml:space="preserve">12</w:t>
            </w:r>
          </w:p>
        </w:tc>
        <w:tc>
          <w:tcPr>
            <w:tcW w:type="dxa" w:w="3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PPV flag/total, favourable/unfavourable, coverage marks, maturity fallback</w:t>
            </w:r>
          </w:p>
        </w:tc>
      </w:tr>
      <w:tr>
        <w:tc>
          <w:tcPr>
            <w:tcW w:type="dxa" w:w="3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Total</w:t>
            </w:r>
          </w:p>
        </w:tc>
        <w:tc>
          <w:tcPr>
            <w:tcW w:type="dxa" w:w="156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75</w:t>
            </w:r>
          </w:p>
        </w:tc>
        <w:tc>
          <w:tcPr>
            <w:tcW w:type="dxa" w:w="156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75</w:t>
            </w:r>
          </w:p>
        </w:tc>
        <w:tc>
          <w:tcPr>
            <w:tcW w:type="dxa" w:w="324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FFFFFF"/>
                <w:sz w:val="19"/>
                <w:szCs w:val="19"/>
              </w:rPr>
              <w:t xml:space="preserve">All tests pass; no live API calls in CI</w:t>
            </w:r>
          </w:p>
        </w:tc>
      </w:tr>
    </w:tbl>
    <w:p>
      <w:pPr>
        <w:spacing w:after="0" w:before="0"/>
      </w:pPr>
      <w:r>
        <w:t xml:space="preserve"/>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8.2 Testing Approach</w:t>
      </w:r>
    </w:p>
    <w:p>
      <w:pPr>
        <w:spacing w:after="80" w:before="80"/>
        <w:jc w:val="left"/>
      </w:pPr>
      <w:r>
        <w:rPr>
          <w:rFonts w:ascii="Arial" w:cs="Arial" w:eastAsia="Arial" w:hAnsi="Arial"/>
          <w:b w:val="false"/>
          <w:bCs w:val="false"/>
          <w:i w:val="false"/>
          <w:iCs w:val="false"/>
          <w:color w:val="2C2C2C"/>
          <w:sz w:val="20"/>
          <w:szCs w:val="20"/>
        </w:rPr>
        <w:t xml:space="preserve">The test suite runs entirely without external dependencies. Heavy dependencies (LangGraph, psycopg2, Anthropic SDK) are stubbed or mocked at module level using unittest.mock. LLM calls in agent unit tests are patched via @patch('agt_ss.agents.&lt;module&gt;.extract_json') and @patch('agt_ss.agents.&lt;module&gt;.reason').</w:t>
      </w:r>
    </w:p>
    <w:p>
      <w:pPr>
        <w:spacing w:after="80" w:before="80"/>
        <w:jc w:val="left"/>
      </w:pPr>
      <w:r>
        <w:rPr>
          <w:rFonts w:ascii="Arial" w:cs="Arial" w:eastAsia="Arial" w:hAnsi="Arial"/>
          <w:b w:val="false"/>
          <w:bCs w:val="false"/>
          <w:i w:val="false"/>
          <w:iCs w:val="false"/>
          <w:color w:val="2C2C2C"/>
          <w:sz w:val="20"/>
          <w:szCs w:val="20"/>
        </w:rPr>
        <w:t xml:space="preserve">Deterministic logic is tested with real inputs without mocking: Kraljic scoring, landed cost models, TCO computation, PPV arithmetic, bid normalisation, and evaluation scoring are all exercised against known inputs with assertAlmostEqual precision checks.</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8.3 Test Injection Pattern</w:t>
      </w:r>
    </w:p>
    <w:p>
      <w:pPr>
        <w:spacing w:after="80" w:before="80"/>
        <w:jc w:val="left"/>
      </w:pPr>
      <w:r>
        <w:rPr>
          <w:rFonts w:ascii="Arial" w:cs="Arial" w:eastAsia="Arial" w:hAnsi="Arial"/>
          <w:b w:val="false"/>
          <w:bCs w:val="false"/>
          <w:i w:val="false"/>
          <w:iCs w:val="false"/>
          <w:color w:val="2C2C2C"/>
          <w:sz w:val="20"/>
          <w:szCs w:val="20"/>
        </w:rPr>
        <w:t xml:space="preserve">For integration testing with real AWS infrastructure, inject data directly via the context dict rather than wiring live SAP/portal connections. This pattern is fully supported:</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context.spend_data — bypasses SAP extract</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context.existing_asl — bypasses Aurora PostgreSQL ASL read</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context.bid_responses — bypasses supplier portal polling</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context.actuals_data / budget_data — bypasses Aurora PostgreSQL spend warehouse queries</w:t>
      </w:r>
    </w:p>
    <w:p>
      <w:pPr>
        <w:spacing w:after="0" w:before="0"/>
      </w:pPr>
      <w:r>
        <w:t xml:space="preserve"/>
      </w:r>
    </w:p>
    <w:p>
      <w:pPr>
        <w:spacing w:after="0" w:before="0"/>
      </w:pPr>
      <w:r>
        <w:br w:type="page"/>
      </w:r>
    </w:p>
    <w:p>
      <w:pPr>
        <w:pStyle w:val="Heading1"/>
        <w:spacing w:after="160" w:before="360"/>
      </w:pPr>
      <w:r>
        <w:rPr>
          <w:rFonts w:ascii="Arial" w:cs="Arial" w:eastAsia="Arial" w:hAnsi="Arial"/>
          <w:b/>
          <w:bCs/>
          <w:i w:val="false"/>
          <w:iCs w:val="false"/>
          <w:color w:val="1B3A5C"/>
          <w:sz w:val="30"/>
          <w:szCs w:val="30"/>
        </w:rPr>
        <w:t xml:space="preserve">9. Security and Compliance</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9.1 Secret Management</w:t>
      </w:r>
    </w:p>
    <w:p>
      <w:pPr>
        <w:spacing w:after="80" w:before="80"/>
        <w:jc w:val="left"/>
      </w:pPr>
      <w:r>
        <w:rPr>
          <w:rFonts w:ascii="Arial" w:cs="Arial" w:eastAsia="Arial" w:hAnsi="Arial"/>
          <w:b w:val="false"/>
          <w:bCs w:val="false"/>
          <w:i w:val="false"/>
          <w:iCs w:val="false"/>
          <w:color w:val="2C2C2C"/>
          <w:sz w:val="20"/>
          <w:szCs w:val="20"/>
        </w:rPr>
        <w:t xml:space="preserve">All external credentials are stored in AWS Secrets Manager. Secrets are retrieved at runtime via the boto3 SDK using IAM role-based access. The following secrets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Secret</w:t>
            </w:r>
          </w:p>
        </w:tc>
        <w:tc>
          <w:tcPr>
            <w:tcW w:type="dxa" w:w="20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Scope</w:t>
            </w:r>
          </w:p>
        </w:tc>
        <w:tc>
          <w:tcPr>
            <w:tcW w:type="dxa" w:w="43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Used by</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anthropic-api-key</w:t>
            </w:r>
          </w:p>
        </w:tc>
        <w:tc>
          <w:tcPr>
            <w:tcW w:type="dxa" w:w="20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agt-ss</w:t>
            </w:r>
          </w:p>
        </w:tc>
        <w:tc>
          <w:tcPr>
            <w:tcW w:type="dxa" w:w="4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llm.py — all LLM calls</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sap-client-secret</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agt-ss</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tools/sap.py — spend extract and vendor master</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docusign-client-secret</w:t>
            </w:r>
          </w:p>
        </w:tc>
        <w:tc>
          <w:tcPr>
            <w:tcW w:type="dxa" w:w="20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agt-ss</w:t>
            </w:r>
          </w:p>
        </w:tc>
        <w:tc>
          <w:tcPr>
            <w:tcW w:type="dxa" w:w="4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tools/docusign.py — contract execution</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edi-certificate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agt-ss</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tools/edi.py — EDI connectivity</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db-connection-string</w:t>
            </w:r>
          </w:p>
        </w:tc>
        <w:tc>
          <w:tcPr>
            <w:tcW w:type="dxa" w:w="20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agt-ss</w:t>
            </w:r>
          </w:p>
        </w:tc>
        <w:tc>
          <w:tcPr>
            <w:tcW w:type="dxa" w:w="4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Aurora PostgreSQL connection string for checkpoint persistence</w:t>
            </w:r>
          </w:p>
        </w:tc>
      </w:tr>
    </w:tbl>
    <w:p>
      <w:pPr>
        <w:spacing w:after="0" w:before="0"/>
      </w:pPr>
      <w:r>
        <w:t xml:space="preserve"/>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9.2 Data Classification</w:t>
      </w:r>
    </w:p>
    <w:p>
      <w:pPr>
        <w:spacing w:after="80" w:before="80"/>
        <w:jc w:val="left"/>
      </w:pPr>
      <w:r>
        <w:rPr>
          <w:rFonts w:ascii="Arial" w:cs="Arial" w:eastAsia="Arial" w:hAnsi="Arial"/>
          <w:b w:val="false"/>
          <w:bCs w:val="false"/>
          <w:i w:val="false"/>
          <w:iCs w:val="false"/>
          <w:color w:val="2C2C2C"/>
          <w:sz w:val="20"/>
          <w:szCs w:val="20"/>
        </w:rPr>
        <w:t xml:space="preserve">The following data classifications apply to AGT-SS outputs:</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Supplier financial data and D&amp;B reports — Confidential; stored in contract repository with encryption at rest; not written to shared state fields accessible by the analytics agent</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Contract terms and pricing — Confidential; contract_record is excluded from analytics_governance output synthesis</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Spend data and PPV reports — Internal; accessible to procurement team and technology leadership</w:t>
      </w:r>
    </w:p>
    <w:p>
      <w:pPr>
        <w:pStyle w:val="ListParagraph"/>
        <w:numPr>
          <w:ilvl w:val="0"/>
          <w:numId w:val="2"/>
        </w:numPr>
        <w:spacing w:after="40" w:before="40"/>
      </w:pPr>
      <w:r>
        <w:rPr>
          <w:rFonts w:ascii="Arial" w:cs="Arial" w:eastAsia="Arial" w:hAnsi="Arial"/>
          <w:b w:val="false"/>
          <w:bCs w:val="false"/>
          <w:i w:val="false"/>
          <w:iCs w:val="false"/>
          <w:color w:val="2C2C2C"/>
          <w:sz w:val="20"/>
          <w:szCs w:val="20"/>
        </w:rPr>
        <w:t xml:space="preserve">Maturity roadmap and transformation initiatives — Internal; may be shared with external consultants under NDA</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9.3 Access Control</w:t>
      </w:r>
    </w:p>
    <w:p>
      <w:pPr>
        <w:spacing w:after="80" w:before="80"/>
        <w:jc w:val="left"/>
      </w:pPr>
      <w:r>
        <w:rPr>
          <w:rFonts w:ascii="Arial" w:cs="Arial" w:eastAsia="Arial" w:hAnsi="Arial"/>
          <w:b w:val="false"/>
          <w:bCs w:val="false"/>
          <w:i w:val="false"/>
          <w:iCs w:val="false"/>
          <w:color w:val="2C2C2C"/>
          <w:sz w:val="20"/>
          <w:szCs w:val="20"/>
        </w:rPr>
        <w:t xml:space="preserve">IAM role-based access controls govern access to Aurora PostgreSQL tables. RDS resource policies and VPC security groups restrict network access. The following role bindings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Role</w:t>
            </w:r>
          </w:p>
        </w:tc>
        <w:tc>
          <w:tcPr>
            <w:tcW w:type="dxa" w:w="20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Table access</w:t>
            </w:r>
          </w:p>
        </w:tc>
        <w:tc>
          <w:tcPr>
            <w:tcW w:type="dxa" w:w="47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Notes</w:t>
            </w:r>
          </w:p>
        </w:tc>
      </w:tr>
      <w:tr>
        <w:tc>
          <w:tcPr>
            <w:tcW w:type="dxa" w:w="2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agt_ss_agent (IAM role)</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GRANT ALL on schema agt_ss to agt_ss_agent</w:t>
            </w:r>
          </w:p>
        </w:tc>
        <w:tc>
          <w:tcPr>
            <w:tcW w:type="dxa" w:w="47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Runtime identity for workflow execution</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procurement_analyst</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SELECT on workflow_checkpoints, analytics outputs</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Read-only for dashboard and reporting</w:t>
            </w:r>
          </w:p>
        </w:tc>
      </w:tr>
      <w:tr>
        <w:tc>
          <w:tcPr>
            <w:tcW w:type="dxa" w:w="2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procurement_director</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UPDATE on workflow_checkpoints (checkpoint approval)</w:t>
            </w:r>
          </w:p>
        </w:tc>
        <w:tc>
          <w:tcPr>
            <w:tcW w:type="dxa" w:w="47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Required to call resume_workflow()</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1B3A5C"/>
                <w:sz w:val="19"/>
                <w:szCs w:val="19"/>
              </w:rPr>
              <w:t xml:space="preserve">technology_admin</w:t>
            </w:r>
          </w:p>
        </w:tc>
        <w:tc>
          <w:tcPr>
            <w:tcW w:type="dxa" w:w="2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RDS master user — schema management and dead-letter triage</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Schema management and dead-letter triage</w:t>
            </w:r>
          </w:p>
        </w:tc>
      </w:tr>
    </w:tbl>
    <w:p>
      <w:pPr>
        <w:spacing w:after="0" w:before="0"/>
      </w:pPr>
      <w:r>
        <w:t xml:space="preserve"/>
      </w:r>
    </w:p>
    <w:p>
      <w:pPr>
        <w:spacing w:after="0" w:before="0"/>
      </w:pPr>
      <w:r>
        <w:br w:type="page"/>
      </w:r>
    </w:p>
    <w:p>
      <w:pPr>
        <w:pStyle w:val="Heading1"/>
        <w:spacing w:after="160" w:before="360"/>
      </w:pPr>
      <w:r>
        <w:rPr>
          <w:rFonts w:ascii="Arial" w:cs="Arial" w:eastAsia="Arial" w:hAnsi="Arial"/>
          <w:b/>
          <w:bCs/>
          <w:i w:val="false"/>
          <w:iCs w:val="false"/>
          <w:color w:val="1B3A5C"/>
          <w:sz w:val="30"/>
          <w:szCs w:val="30"/>
        </w:rPr>
        <w:t xml:space="preserve">10. Deployment</w:t>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10.1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Path</w:t>
            </w:r>
          </w:p>
        </w:tc>
        <w:tc>
          <w:tcPr>
            <w:tcW w:type="dxa" w:w="53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Contents</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agt_ss/__init__.py</w:t>
            </w:r>
          </w:p>
        </w:tc>
        <w:tc>
          <w:tcPr>
            <w:tcW w:type="dxa" w:w="5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Public API: run_workflow, resume_workflow, build_graph</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agt_ss/orchestrator.py</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LangGraph StateGraph, node functions, routing logic, checkpoint gates (569 lines)</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agt_ss/state/schema.py</w:t>
            </w:r>
          </w:p>
        </w:tc>
        <w:tc>
          <w:tcPr>
            <w:tcW w:type="dxa" w:w="5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WorkflowState TypedDict, all sub-state schemas, enums, factory (220 lines)</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agt_ss/agents/base.py</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BaseAgent ABC, AgentToolError, retry loop (126 lines)</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agt_ss/agents/llm.py</w:t>
            </w:r>
          </w:p>
        </w:tc>
        <w:tc>
          <w:tcPr>
            <w:tcW w:type="dxa" w:w="5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Anthropic client wrapper: reason(), extract_json() (82 lines)</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agt_ss/agents/spend_category.py</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SpendCategoryAgent full implementation (598 lines)</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agt_ss/agents/supplier_market.py</w:t>
            </w:r>
          </w:p>
        </w:tc>
        <w:tc>
          <w:tcPr>
            <w:tcW w:type="dxa" w:w="5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SupplierMarketAgent full implementation (478 lines)</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agt_ss/agents/sourcing_execution.py</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SourcingExecutionAgent full implementation (645 lines)</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agt_ss/agents/contract_supplier.py</w:t>
            </w:r>
          </w:p>
        </w:tc>
        <w:tc>
          <w:tcPr>
            <w:tcW w:type="dxa" w:w="5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ContractSupplierAgent full implementation (537 lines)</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agt_ss/agents/analytics_governance.py</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AnalyticsGovernanceAgent full implementation (480 lines)</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agt_ss/agents/sub_agents.py</w:t>
            </w:r>
          </w:p>
        </w:tc>
        <w:tc>
          <w:tcPr>
            <w:tcW w:type="dxa" w:w="5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Re-export shim; keeps orchestrator import path stable</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agt_ss/checkpoints/aurora.py</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Aurora PostgreSQL persistence with local JSON fallback (178 lines)</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agt_ss/tools/</w:t>
            </w:r>
          </w:p>
        </w:tc>
        <w:tc>
          <w:tcPr>
            <w:tcW w:type="dxa" w:w="5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Integration stubs directory; implement sap.py, db.py, docusign.py, edi.py, amos.py</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tests/test_orchestrator.py</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Orchestrator unit tests — 24 tests</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tests/test_sub_agents.py</w:t>
            </w:r>
          </w:p>
        </w:tc>
        <w:tc>
          <w:tcPr>
            <w:tcW w:type="dxa" w:w="5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Sub-agent unit tests — 51 tests across 5 agents</w:t>
            </w:r>
          </w:p>
        </w:tc>
      </w:tr>
    </w:tbl>
    <w:p>
      <w:pPr>
        <w:spacing w:after="0" w:before="0"/>
      </w:pPr>
      <w:r>
        <w:t xml:space="preserve"/>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10.2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Package</w:t>
            </w:r>
          </w:p>
        </w:tc>
        <w:tc>
          <w:tcPr>
            <w:tcW w:type="dxa" w:w="16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Version</w:t>
            </w:r>
          </w:p>
        </w:tc>
        <w:tc>
          <w:tcPr>
            <w:tcW w:type="dxa" w:w="53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Purpose</w:t>
            </w:r>
          </w:p>
        </w:tc>
      </w:tr>
      <w:tr>
        <w:tc>
          <w:tcPr>
            <w:tcW w:type="dxa" w:w="2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langgraph</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 0.2</w:t>
            </w:r>
          </w:p>
        </w:tc>
        <w:tc>
          <w:tcPr>
            <w:tcW w:type="dxa" w:w="5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Multi-agent graph execution framework</w:t>
            </w:r>
          </w:p>
        </w:tc>
      </w:tr>
      <w:tr>
        <w:tc>
          <w:tcPr>
            <w:tcW w:type="dxa" w:w="2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anthropic</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 0.40</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Claude API client</w:t>
            </w:r>
          </w:p>
        </w:tc>
      </w:tr>
      <w:tr>
        <w:tc>
          <w:tcPr>
            <w:tcW w:type="dxa" w:w="2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typing_extensions</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 4.0</w:t>
            </w:r>
          </w:p>
        </w:tc>
        <w:tc>
          <w:tcPr>
            <w:tcW w:type="dxa" w:w="5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TypedDict backport for Python &lt; 3.11</w:t>
            </w:r>
          </w:p>
        </w:tc>
      </w:tr>
      <w:tr>
        <w:tc>
          <w:tcPr>
            <w:tcW w:type="dxa" w:w="2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psycopg2-binary</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 3.5</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Aurora PostgreSQL reads/writes via psycopg2 / SQLAlchemy (not required in dev)</w:t>
            </w:r>
          </w:p>
        </w:tc>
      </w:tr>
      <w:tr>
        <w:tc>
          <w:tcPr>
            <w:tcW w:type="dxa" w:w="2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pytest</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 9.0</w:t>
            </w:r>
          </w:p>
        </w:tc>
        <w:tc>
          <w:tcPr>
            <w:tcW w:type="dxa" w:w="53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Test runner</w:t>
            </w:r>
          </w:p>
        </w:tc>
      </w:tr>
    </w:tbl>
    <w:p>
      <w:pPr>
        <w:spacing w:after="0" w:before="0"/>
      </w:pPr>
      <w:r>
        <w:t xml:space="preserve"/>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10.3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Variable</w:t>
            </w:r>
          </w:p>
        </w:tc>
        <w:tc>
          <w:tcPr>
            <w:tcW w:type="dxa" w:w="160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Default</w:t>
            </w:r>
          </w:p>
        </w:tc>
        <w:tc>
          <w:tcPr>
            <w:tcW w:type="dxa" w:w="4960"/>
            <w:tcBorders>
              <w:top w:val="single" w:color="2E6DA4" w:sz="4"/>
              <w:left w:val="single" w:color="2E6DA4" w:sz="4"/>
              <w:bottom w:val="single" w:color="2E6DA4" w:sz="4"/>
              <w:right w:val="single" w:color="2E6DA4" w:sz="4"/>
            </w:tcBorders>
            <w:shd w:fill="2E6DA4"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ANTHROPIC_API_KEY</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(Secrets Manager)</w:t>
            </w:r>
          </w:p>
        </w:tc>
        <w:tc>
          <w:tcPr>
            <w:tcW w:type="dxa" w:w="4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Claude API key; sourced from AWS Secrets Manager in production</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AWS_REGION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AWS region for Secrets Manager and Aurora endpoints (e.g., us-east-1); absent = local JSON fallback</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DB_NAME</w:t>
            </w:r>
          </w:p>
        </w:tc>
        <w:tc>
          <w:tcPr>
            <w:tcW w:type="dxa" w:w="160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agt_ss</w:t>
            </w:r>
          </w:p>
        </w:tc>
        <w:tc>
          <w:tcPr>
            <w:tcW w:type="dxa" w:w="4960"/>
            <w:tcBorders>
              <w:top w:val="single" w:color="CCCCCC" w:sz="4"/>
              <w:left w:val="single" w:color="CCCCCC" w:sz="4"/>
              <w:bottom w:val="single" w:color="CCCCCC" w:sz="4"/>
              <w:right w:val="single" w:color="CCCCCC" w:sz="4"/>
            </w:tcBorders>
            <w:shd w:fill="EBF4FA"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Aurora PostgreSQL database name for agt_ss tables</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spacing w:after="80" w:before="80"/>
              <w:jc w:val="left"/>
            </w:pPr>
            <w:r>
              <w:rPr>
                <w:rFonts w:ascii="Courier New" w:cs="Courier New" w:eastAsia="Courier New" w:hAnsi="Courier New"/>
                <w:color w:val="C7254E"/>
                <w:sz w:val="18"/>
                <w:szCs w:val="18"/>
              </w:rPr>
              <w:t xml:space="preserve">DB_SCHEMA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public</w:t>
            </w:r>
          </w:p>
        </w:tc>
        <w:tc>
          <w:tcPr>
            <w:tcW w:type="dxa" w:w="4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after="80" w:before="80"/>
              <w:jc w:val="left"/>
            </w:pPr>
            <w:r>
              <w:rPr>
                <w:rFonts w:ascii="Arial" w:cs="Arial" w:eastAsia="Arial" w:hAnsi="Arial"/>
                <w:b w:val="false"/>
                <w:bCs w:val="false"/>
                <w:i w:val="false"/>
                <w:iCs w:val="false"/>
                <w:color w:val="2C2C2C"/>
                <w:sz w:val="19"/>
                <w:szCs w:val="19"/>
              </w:rPr>
              <w:t xml:space="preserve">PostgreSQL schema name within the Aurora database</w:t>
            </w:r>
          </w:p>
        </w:tc>
      </w:tr>
    </w:tbl>
    <w:p>
      <w:pPr>
        <w:spacing w:after="0" w:before="0"/>
      </w:pPr>
      <w:r>
        <w:t xml:space="preserve"/>
      </w:r>
    </w:p>
    <w:p>
      <w:pPr>
        <w:pStyle w:val="Heading2"/>
        <w:pBdr>
          <w:bottom w:val="single" w:color="D5E8F0" w:sz="4" w:space="4"/>
        </w:pBdr>
        <w:spacing w:after="120" w:before="280"/>
      </w:pPr>
      <w:r>
        <w:rPr>
          <w:rFonts w:ascii="Arial" w:cs="Arial" w:eastAsia="Arial" w:hAnsi="Arial"/>
          <w:b/>
          <w:bCs/>
          <w:i w:val="false"/>
          <w:iCs w:val="false"/>
          <w:color w:val="2E6DA4"/>
          <w:sz w:val="24"/>
          <w:szCs w:val="24"/>
        </w:rPr>
        <w:t xml:space="preserve">10.4 Wiring Integration Points</w:t>
      </w:r>
    </w:p>
    <w:p>
      <w:pPr>
        <w:spacing w:after="80" w:before="80"/>
        <w:jc w:val="left"/>
      </w:pPr>
      <w:r>
        <w:rPr>
          <w:rFonts w:ascii="Arial" w:cs="Arial" w:eastAsia="Arial" w:hAnsi="Arial"/>
          <w:b w:val="false"/>
          <w:bCs w:val="false"/>
          <w:i w:val="false"/>
          <w:iCs w:val="false"/>
          <w:color w:val="2C2C2C"/>
          <w:sz w:val="20"/>
          <w:szCs w:val="20"/>
        </w:rPr>
        <w:t xml:space="preserve">To move from stub mode to full production:</w:t>
      </w:r>
    </w:p>
    <w:p>
      <w:pPr>
        <w:pStyle w:val="ListParagraph"/>
        <w:numPr>
          <w:ilvl w:val="0"/>
          <w:numId w:val="3"/>
        </w:numPr>
        <w:spacing w:after="40" w:before="40"/>
      </w:pPr>
      <w:r>
        <w:rPr>
          <w:rFonts w:ascii="Arial" w:cs="Arial" w:eastAsia="Arial" w:hAnsi="Arial"/>
          <w:b w:val="false"/>
          <w:bCs w:val="false"/>
          <w:i w:val="false"/>
          <w:iCs w:val="false"/>
          <w:color w:val="2C2C2C"/>
          <w:sz w:val="20"/>
          <w:szCs w:val="20"/>
        </w:rPr>
        <w:t xml:space="preserve">Implement tools/sap.py with SAPSpendClient and SAPVendorMaster classes connecting to the SAP MCP server</w:t>
      </w:r>
    </w:p>
    <w:p>
      <w:pPr>
        <w:pStyle w:val="ListParagraph"/>
        <w:numPr>
          <w:ilvl w:val="0"/>
          <w:numId w:val="3"/>
        </w:numPr>
        <w:spacing w:after="40" w:before="40"/>
      </w:pPr>
      <w:r>
        <w:rPr>
          <w:rFonts w:ascii="Arial" w:cs="Arial" w:eastAsia="Arial" w:hAnsi="Arial"/>
          <w:b w:val="false"/>
          <w:bCs w:val="false"/>
          <w:i w:val="false"/>
          <w:iCs w:val="false"/>
          <w:color w:val="2C2C2C"/>
          <w:sz w:val="20"/>
          <w:szCs w:val="20"/>
        </w:rPr>
        <w:t xml:space="preserve">Implement tools/delta.py with DeltaReader.query_asl() connecting to agt_ss.approved_suppliers</w:t>
      </w:r>
    </w:p>
    <w:p>
      <w:pPr>
        <w:pStyle w:val="ListParagraph"/>
        <w:numPr>
          <w:ilvl w:val="0"/>
          <w:numId w:val="3"/>
        </w:numPr>
        <w:spacing w:after="40" w:before="40"/>
      </w:pPr>
      <w:r>
        <w:rPr>
          <w:rFonts w:ascii="Arial" w:cs="Arial" w:eastAsia="Arial" w:hAnsi="Arial"/>
          <w:b w:val="false"/>
          <w:bCs w:val="false"/>
          <w:i w:val="false"/>
          <w:iCs w:val="false"/>
          <w:color w:val="2C2C2C"/>
          <w:sz w:val="20"/>
          <w:szCs w:val="20"/>
        </w:rPr>
        <w:t xml:space="preserve">Implement tools/supplier_portal.py with SupplierPortal.collect_bids() — or wire EDI bid intake</w:t>
      </w:r>
    </w:p>
    <w:p>
      <w:pPr>
        <w:pStyle w:val="ListParagraph"/>
        <w:numPr>
          <w:ilvl w:val="0"/>
          <w:numId w:val="3"/>
        </w:numPr>
        <w:spacing w:after="40" w:before="40"/>
      </w:pPr>
      <w:r>
        <w:rPr>
          <w:rFonts w:ascii="Arial" w:cs="Arial" w:eastAsia="Arial" w:hAnsi="Arial"/>
          <w:b w:val="false"/>
          <w:bCs w:val="false"/>
          <w:i w:val="false"/>
          <w:iCs w:val="false"/>
          <w:color w:val="2C2C2C"/>
          <w:sz w:val="20"/>
          <w:szCs w:val="20"/>
        </w:rPr>
        <w:t xml:space="preserve">Implement tools/docusign.py with DocuSignClient.send_for_signature()</w:t>
      </w:r>
    </w:p>
    <w:p>
      <w:pPr>
        <w:pStyle w:val="ListParagraph"/>
        <w:numPr>
          <w:ilvl w:val="0"/>
          <w:numId w:val="3"/>
        </w:numPr>
        <w:spacing w:after="40" w:before="40"/>
      </w:pPr>
      <w:r>
        <w:rPr>
          <w:rFonts w:ascii="Arial" w:cs="Arial" w:eastAsia="Arial" w:hAnsi="Arial"/>
          <w:b w:val="false"/>
          <w:bCs w:val="false"/>
          <w:i w:val="false"/>
          <w:iCs w:val="false"/>
          <w:color w:val="2C2C2C"/>
          <w:sz w:val="20"/>
          <w:szCs w:val="20"/>
        </w:rPr>
        <w:t xml:space="preserve">Implement tools/edi.py with EDIConnector for supplier onboarding connectivity checks</w:t>
      </w:r>
    </w:p>
    <w:p>
      <w:pPr>
        <w:pStyle w:val="ListParagraph"/>
        <w:numPr>
          <w:ilvl w:val="0"/>
          <w:numId w:val="3"/>
        </w:numPr>
        <w:spacing w:after="40" w:before="40"/>
      </w:pPr>
      <w:r>
        <w:rPr>
          <w:rFonts w:ascii="Arial" w:cs="Arial" w:eastAsia="Arial" w:hAnsi="Arial"/>
          <w:b w:val="false"/>
          <w:bCs w:val="false"/>
          <w:i w:val="false"/>
          <w:iCs w:val="false"/>
          <w:color w:val="2C2C2C"/>
          <w:sz w:val="20"/>
          <w:szCs w:val="20"/>
        </w:rPr>
        <w:t xml:space="preserve">Set AWS_REGION and DB_NAME; provision the three Aurora PostgreSQL tables with appropriate schema and IAM permissions</w:t>
      </w:r>
    </w:p>
    <w:p>
      <w:pPr>
        <w:pStyle w:val="ListParagraph"/>
        <w:numPr>
          <w:ilvl w:val="0"/>
          <w:numId w:val="3"/>
        </w:numPr>
        <w:spacing w:after="40" w:before="40"/>
      </w:pPr>
      <w:r>
        <w:rPr>
          <w:rFonts w:ascii="Arial" w:cs="Arial" w:eastAsia="Arial" w:hAnsi="Arial"/>
          <w:b w:val="false"/>
          <w:bCs w:val="false"/>
          <w:i w:val="false"/>
          <w:iCs w:val="false"/>
          <w:color w:val="2C2C2C"/>
          <w:sz w:val="20"/>
          <w:szCs w:val="20"/>
        </w:rPr>
        <w:t xml:space="preserve">Configure AWS Secrets Manager secrets and attach the agt_ss_agent IAM role with appropriate SecretsManager:GetSecretValue permissions</w:t>
      </w:r>
    </w:p>
    <w:p>
      <w:pPr>
        <w:pStyle w:val="ListParagraph"/>
        <w:numPr>
          <w:ilvl w:val="0"/>
          <w:numId w:val="3"/>
        </w:numPr>
        <w:spacing w:after="40" w:before="40"/>
      </w:pPr>
      <w:r>
        <w:rPr>
          <w:rFonts w:ascii="Arial" w:cs="Arial" w:eastAsia="Arial" w:hAnsi="Arial"/>
          <w:b w:val="false"/>
          <w:bCs w:val="false"/>
          <w:i w:val="false"/>
          <w:iCs w:val="false"/>
          <w:color w:val="2C2C2C"/>
          <w:sz w:val="20"/>
          <w:szCs w:val="20"/>
        </w:rPr>
        <w:t xml:space="preserve">Wire FastAPI checkpoint gateway to expose the resume_workflow() endpoint for the human approval UI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single" w:color="2E7D32" w:sz="8"/>
              <w:left w:val="single" w:color="2E7D32" w:sz="8"/>
              <w:bottom w:val="single" w:color="2E7D32" w:sz="8"/>
              <w:right w:val="nil"/>
            </w:tcBorders>
            <w:shd w:fill="E8F5E9" w:val="clear"/>
            <w:tcMar>
              <w:top w:type="dxa" w:w="100"/>
              <w:left w:type="dxa" w:w="140"/>
              <w:bottom w:type="dxa" w:w="100"/>
              <w:right w:type="dxa" w:w="140"/>
            </w:tcMar>
            <w:vAlign w:val="top"/>
          </w:tcPr>
          <w:p>
            <w:pPr>
              <w:spacing w:after="80" w:before="80"/>
              <w:jc w:val="left"/>
            </w:pPr>
            <w:r>
              <w:rPr>
                <w:rFonts w:ascii="Arial" w:cs="Arial" w:eastAsia="Arial" w:hAnsi="Arial"/>
                <w:b/>
                <w:bCs/>
                <w:i w:val="false"/>
                <w:iCs w:val="false"/>
                <w:color w:val="2E7D32"/>
                <w:sz w:val="22"/>
                <w:szCs w:val="22"/>
              </w:rPr>
              <w:t xml:space="preserve">✓</w:t>
            </w:r>
          </w:p>
        </w:tc>
        <w:tc>
          <w:tcPr>
            <w:tcW w:type="dxa" w:w="9080"/>
            <w:tcBorders>
              <w:top w:val="single" w:color="2E7D32" w:sz="8"/>
              <w:left w:val="nil"/>
              <w:bottom w:val="single" w:color="2E7D32" w:sz="8"/>
              <w:right w:val="single" w:color="2E7D32" w:sz="8"/>
            </w:tcBorders>
            <w:shd w:fill="E8F5E9" w:val="clear"/>
            <w:tcMar>
              <w:top w:type="dxa" w:w="100"/>
              <w:left w:type="dxa" w:w="140"/>
              <w:bottom w:type="dxa" w:w="100"/>
              <w:right w:type="dxa" w:w="140"/>
            </w:tcMar>
            <w:vAlign w:val="top"/>
          </w:tcPr>
          <w:p>
            <w:pPr>
              <w:spacing w:after="20" w:before="40"/>
              <w:jc w:val="left"/>
            </w:pPr>
            <w:r>
              <w:rPr>
                <w:rFonts w:ascii="Arial" w:cs="Arial" w:eastAsia="Arial" w:hAnsi="Arial"/>
                <w:b/>
                <w:bCs/>
                <w:i w:val="false"/>
                <w:iCs w:val="false"/>
                <w:color w:val="2E7D32"/>
                <w:sz w:val="19"/>
                <w:szCs w:val="19"/>
              </w:rPr>
              <w:t xml:space="preserve">Dev mode default</w:t>
            </w:r>
          </w:p>
          <w:p>
            <w:pPr>
              <w:spacing w:after="40" w:before="80"/>
              <w:jc w:val="left"/>
            </w:pPr>
            <w:r>
              <w:rPr>
                <w:rFonts w:ascii="Arial" w:cs="Arial" w:eastAsia="Arial" w:hAnsi="Arial"/>
                <w:b w:val="false"/>
                <w:bCs w:val="false"/>
                <w:i w:val="false"/>
                <w:iCs w:val="false"/>
                <w:color w:val="2C2C2C"/>
                <w:sz w:val="19"/>
                <w:szCs w:val="19"/>
              </w:rPr>
              <w:t xml:space="preserve">When AWS_REGION is not set, all checkpoints write to /tmp/agt_ss_checkpoints/ as JSON files. All LLM calls require ANTHROPIC_API_KEY. All tool calls return stubs unless context injection is used. This makes the full workflow runnable on any laptop with pip install anthropic langgraph psycopg2-binary.</w:t>
            </w:r>
          </w:p>
        </w:tc>
      </w:tr>
    </w:tbl>
    <w:p>
      <w:pPr>
        <w:spacing w:after="0" w:before="0"/>
      </w:pPr>
      <w:r>
        <w:t xml:space="preserve"/>
      </w:r>
    </w:p>
    <w:p>
      <w:pPr>
        <w:spacing w:after="0" w:before="0"/>
      </w:pPr>
      <w:r>
        <w:t xml:space="preserve"/>
      </w:r>
    </w:p>
    <w:p>
      <w:pPr>
        <w:pBdr>
          <w:top w:val="single" w:color="CCCCCC" w:sz="4" w:space="8"/>
        </w:pBdr>
        <w:spacing w:after="0" w:before="240"/>
        <w:jc w:val="center"/>
      </w:pPr>
      <w:r>
        <w:rPr>
          <w:rFonts w:ascii="Arial" w:cs="Arial" w:eastAsia="Arial" w:hAnsi="Arial"/>
          <w:b w:val="false"/>
          <w:bCs w:val="false"/>
          <w:i/>
          <w:iCs/>
          <w:color w:val="888888"/>
          <w:sz w:val="16"/>
          <w:szCs w:val="16"/>
        </w:rPr>
        <w:t xml:space="preserve">AGT-SS Specification Engineering Document  |  Version 1.0.0  |  COCOM Group — Technology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after="0" w:before="80"/>
      <w:jc w:val="center"/>
    </w:pPr>
    <w:r>
      <w:rPr>
        <w:rFonts w:ascii="Arial" w:cs="Arial" w:eastAsia="Arial" w:hAnsi="Arial"/>
        <w:b w:val="false"/>
        <w:bCs w:val="false"/>
        <w:i/>
        <w:iCs/>
        <w:color w:val="888888"/>
        <w:sz w:val="16"/>
        <w:szCs w:val="16"/>
      </w:rPr>
      <w:t xml:space="preserve">Confidential — Internal Use Only  |  COCOM Group Technology  |  Version 1.0.0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tabs>
        <w:tab w:val="right" w:pos="9360"/>
      </w:tabs>
      <w:spacing w:after="120" w:before="0"/>
    </w:pPr>
    <w:r>
      <w:rPr>
        <w:rFonts w:ascii="Arial" w:cs="Arial" w:eastAsia="Arial" w:hAnsi="Arial"/>
        <w:b/>
        <w:bCs/>
        <w:i w:val="false"/>
        <w:iCs w:val="false"/>
        <w:color w:val="2E6DA4"/>
        <w:sz w:val="17"/>
        <w:szCs w:val="17"/>
      </w:rPr>
      <w:t xml:space="preserve">AGT-SS  |  Strategic Sourcing &amp; Procurement Agent</w:t>
    </w:r>
    <w:r>
      <w:rPr>
        <w:rFonts w:ascii="Arial" w:cs="Arial" w:eastAsia="Arial" w:hAnsi="Arial"/>
        <w:color w:val="888888"/>
        <w:sz w:val="17"/>
        <w:szCs w:val="17"/>
      </w:rPr>
      <w:t xml:space="preserve">	</w:t>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6DA4"/>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A90C4"/>
      <w:sz w:val="22"/>
      <w:szCs w:val="22"/>
    </w:rPr>
  </w:style>
  <w:style w:type="paragraph" w:styleId="Heading4">
    <w:name w:val="Heading 4"/>
    <w:basedOn w:val="Normal"/>
    <w:next w:val="Normal"/>
    <w:qFormat/>
    <w:pPr>
      <w:spacing w:after="60" w:before="160"/>
      <w:outlineLvl w:val="3"/>
    </w:pPr>
    <w:rPr>
      <w:rFonts w:ascii="Arial" w:cs="Arial" w:eastAsia="Arial" w:hAnsi="Arial"/>
      <w:b/>
      <w:bCs/>
      <w:color w:val="2C2C2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2026-04-07T12:30:18.272Z</dcterms:created>
  <dcterms:modified xsi:type="dcterms:W3CDTF">2026-04-07T12:30:18.274Z</dcterms:modified>
</cp:coreProperties>
</file>

<file path=docProps/custom.xml><?xml version="1.0" encoding="utf-8"?>
<Properties xmlns="http://schemas.openxmlformats.org/officeDocument/2006/custom-properties" xmlns:vt="http://schemas.openxmlformats.org/officeDocument/2006/docPropsVTypes"/>
</file>