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160"/>
          <w:szCs w:val="160"/>
        </w:rPr>
        <w:t xml:space="preserve"/>
      </w:r>
    </w:p>
    <w:p>
      <w:pPr>
        <w:spacing w:after="0" w:before="0"/>
        <w:jc w:val="center"/>
      </w:pPr>
      <w:r>
        <w:rPr>
          <w:rFonts w:ascii="Arial" w:cs="Arial" w:eastAsia="Arial" w:hAnsi="Arial"/>
          <w:b/>
          <w:bCs/>
          <w:color w:val="2E6DA4"/>
          <w:sz w:val="22"/>
          <w:szCs w:val="22"/>
        </w:rPr>
        <w:t xml:space="preserve">COCOM Group</w:t>
      </w:r>
    </w:p>
    <w:p>
      <w:pPr>
        <w:spacing w:after="200" w:before="0"/>
        <w:jc w:val="center"/>
      </w:pPr>
      <w:r>
        <w:rPr>
          <w:rFonts w:ascii="Arial" w:cs="Arial" w:eastAsia="Arial" w:hAnsi="Arial"/>
          <w:color w:val="C9D4DF"/>
          <w:sz w:val="20"/>
          <w:szCs w:val="20"/>
        </w:rPr>
        <w:t xml:space="preserve">Digital Workforce Platform</w:t>
      </w:r>
    </w:p>
    <w:p>
      <w:pPr>
        <w:spacing w:after="0" w:before="0"/>
      </w:pPr>
      <w:r>
        <w:rPr>
          <w:sz w:val="80"/>
          <w:szCs w:val="80"/>
        </w:rPr>
        <w:t xml:space="preserve"/>
      </w:r>
    </w:p>
    <w:p>
      <w:pPr>
        <w:pBdr>
          <w:top w:val="single" w:color="2E6DA4" w:sz="6" w:space="4"/>
          <w:bottom w:val="single" w:color="2E6DA4" w:sz="6" w:space="4"/>
        </w:pBdr>
        <w:spacing w:after="120" w:before="0"/>
        <w:jc w:val="center"/>
      </w:pPr>
      <w:r>
        <w:rPr>
          <w:rFonts w:ascii="Arial" w:cs="Arial" w:eastAsia="Arial" w:hAnsi="Arial"/>
          <w:b/>
          <w:bCs/>
          <w:color w:val="1B3A5C"/>
          <w:sz w:val="22"/>
          <w:szCs w:val="22"/>
        </w:rPr>
        <w:t xml:space="preserve">Specification Engineering Document</w:t>
      </w:r>
    </w:p>
    <w:p>
      <w:pPr>
        <w:spacing w:after="0" w:before="0"/>
      </w:pPr>
      <w:r>
        <w:rPr>
          <w:sz w:val="40"/>
          <w:szCs w:val="40"/>
        </w:rPr>
        <w:t xml:space="preserve"/>
      </w:r>
    </w:p>
    <w:p>
      <w:pPr>
        <w:spacing w:after="80" w:before="0"/>
        <w:jc w:val="center"/>
      </w:pPr>
      <w:r>
        <w:rPr>
          <w:rFonts w:ascii="Arial" w:cs="Arial" w:eastAsia="Arial" w:hAnsi="Arial"/>
          <w:b/>
          <w:bCs/>
          <w:color w:val="1B3A5C"/>
          <w:sz w:val="48"/>
          <w:szCs w:val="48"/>
        </w:rPr>
        <w:t xml:space="preserve">AGT-16</w:t>
      </w:r>
    </w:p>
    <w:p>
      <w:pPr>
        <w:spacing w:after="80" w:before="0"/>
        <w:jc w:val="center"/>
      </w:pPr>
      <w:r>
        <w:rPr>
          <w:rFonts w:ascii="Arial" w:cs="Arial" w:eastAsia="Arial" w:hAnsi="Arial"/>
          <w:b/>
          <w:bCs/>
          <w:color w:val="2E6DA4"/>
          <w:sz w:val="32"/>
          <w:szCs w:val="32"/>
        </w:rPr>
        <w:t xml:space="preserve">Supply Chain Analytics &amp; Intelligence Agent</w:t>
      </w:r>
    </w:p>
    <w:p>
      <w:pPr>
        <w:spacing w:after="0" w:before="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9D4DF" w:sz="1"/>
              <w:left w:val="single" w:color="C9D4DF" w:sz="1"/>
              <w:bottom w:val="single" w:color="C9D4DF" w:sz="1"/>
              <w:right w:val="single" w:color="C9D4DF"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Document Type</w:t>
            </w:r>
          </w:p>
        </w:tc>
        <w:tc>
          <w:tcPr>
            <w:tcW w:type="dxa" w:w="2340"/>
            <w:tcBorders>
              <w:top w:val="single" w:color="C9D4DF" w:sz="1"/>
              <w:left w:val="single" w:color="C9D4DF" w:sz="1"/>
              <w:bottom w:val="single" w:color="C9D4DF" w:sz="1"/>
              <w:right w:val="single" w:color="C9D4DF"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Version</w:t>
            </w:r>
          </w:p>
        </w:tc>
        <w:tc>
          <w:tcPr>
            <w:tcW w:type="dxa" w:w="2340"/>
            <w:tcBorders>
              <w:top w:val="single" w:color="C9D4DF" w:sz="1"/>
              <w:left w:val="single" w:color="C9D4DF" w:sz="1"/>
              <w:bottom w:val="single" w:color="C9D4DF" w:sz="1"/>
              <w:right w:val="single" w:color="C9D4DF"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c>
          <w:tcPr>
            <w:tcW w:type="dxa" w:w="2340"/>
            <w:tcBorders>
              <w:top w:val="single" w:color="C9D4DF" w:sz="1"/>
              <w:left w:val="single" w:color="C9D4DF" w:sz="1"/>
              <w:bottom w:val="single" w:color="C9D4DF" w:sz="1"/>
              <w:right w:val="single" w:color="C9D4DF"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Date</w:t>
            </w:r>
          </w:p>
        </w:tc>
      </w:tr>
      <w:tr>
        <w:tc>
          <w:tcPr>
            <w:tcW w:type="dxa" w:w="234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Specification Engineering</w:t>
            </w:r>
          </w:p>
        </w:tc>
        <w:tc>
          <w:tcPr>
            <w:tcW w:type="dxa" w:w="234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1.0</w:t>
            </w:r>
          </w:p>
        </w:tc>
        <w:tc>
          <w:tcPr>
            <w:tcW w:type="dxa" w:w="234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Draft for Review</w:t>
            </w:r>
          </w:p>
        </w:tc>
        <w:tc>
          <w:tcPr>
            <w:tcW w:type="dxa" w:w="234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April 2026</w:t>
            </w:r>
          </w:p>
        </w:tc>
      </w:tr>
    </w:tbl>
    <w:p>
      <w:pPr>
        <w:spacing w:after="0" w:before="0"/>
      </w:pPr>
      <w:r>
        <w:rPr>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9D4DF" w:sz="1"/>
              <w:left w:val="single" w:color="C9D4DF" w:sz="1"/>
              <w:bottom w:val="single" w:color="C9D4DF" w:sz="1"/>
              <w:right w:val="single" w:color="C9D4DF"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Agent ID</w:t>
            </w:r>
          </w:p>
        </w:tc>
        <w:tc>
          <w:tcPr>
            <w:tcW w:type="dxa" w:w="2340"/>
            <w:tcBorders>
              <w:top w:val="single" w:color="C9D4DF" w:sz="1"/>
              <w:left w:val="single" w:color="C9D4DF" w:sz="1"/>
              <w:bottom w:val="single" w:color="C9D4DF" w:sz="1"/>
              <w:right w:val="single" w:color="C9D4DF"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Domain</w:t>
            </w:r>
          </w:p>
        </w:tc>
        <w:tc>
          <w:tcPr>
            <w:tcW w:type="dxa" w:w="2340"/>
            <w:tcBorders>
              <w:top w:val="single" w:color="C9D4DF" w:sz="1"/>
              <w:left w:val="single" w:color="C9D4DF" w:sz="1"/>
              <w:bottom w:val="single" w:color="C9D4DF" w:sz="1"/>
              <w:right w:val="single" w:color="C9D4DF"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Agent Class</w:t>
            </w:r>
          </w:p>
        </w:tc>
        <w:tc>
          <w:tcPr>
            <w:tcW w:type="dxa" w:w="2340"/>
            <w:tcBorders>
              <w:top w:val="single" w:color="C9D4DF" w:sz="1"/>
              <w:left w:val="single" w:color="C9D4DF" w:sz="1"/>
              <w:bottom w:val="single" w:color="C9D4DF" w:sz="1"/>
              <w:right w:val="single" w:color="C9D4DF"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Classification</w:t>
            </w:r>
          </w:p>
        </w:tc>
      </w:tr>
      <w:tr>
        <w:tc>
          <w:tcPr>
            <w:tcW w:type="dxa" w:w="234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AGT-16</w:t>
            </w:r>
          </w:p>
        </w:tc>
        <w:tc>
          <w:tcPr>
            <w:tcW w:type="dxa" w:w="234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Supply Chain</w:t>
            </w:r>
          </w:p>
        </w:tc>
        <w:tc>
          <w:tcPr>
            <w:tcW w:type="dxa" w:w="234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Analytics Intelligence</w:t>
            </w:r>
          </w:p>
        </w:tc>
        <w:tc>
          <w:tcPr>
            <w:tcW w:type="dxa" w:w="234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Confidential</w:t>
            </w:r>
          </w:p>
        </w:tc>
      </w:tr>
    </w:tbl>
    <w:p>
      <w:r>
        <w:br w:type="page"/>
      </w:r>
    </w:p>
    <w:p>
      <w:pPr>
        <w:pStyle w:val="Heading1"/>
        <w:spacing w:after="160" w:before="400"/>
      </w:pPr>
      <w:r>
        <w:rPr>
          <w:rFonts w:ascii="Arial" w:cs="Arial" w:eastAsia="Arial" w:hAnsi="Arial"/>
          <w:b/>
          <w:bCs/>
          <w:color w:val="1B3A5C"/>
          <w:sz w:val="30"/>
          <w:szCs w:val="30"/>
        </w:rPr>
        <w:t xml:space="preserve">Table of Contents</w:t>
      </w:r>
    </w:p>
    <w:p>
      <w:pPr>
        <w:pBdr>
          <w:bottom w:val="single" w:color="2E6DA4" w:sz="4" w:space="1"/>
        </w:pBdr>
        <w:spacing w:after="120" w:before="120"/>
      </w:pPr>
      <w:r>
        <w:t xml:space="preserve"/>
      </w:r>
    </w:p>
    <w:p>
      <w:pPr>
        <w:spacing w:after="0" w:before="0"/>
      </w:pPr>
      <w:r>
        <w:rPr>
          <w:sz w:val="20"/>
          <w:szCs w:val="20"/>
        </w:rPr>
        <w:t xml:space="preserve"/>
      </w:r>
    </w:p>
    <w:p>
      <w:pPr>
        <w:tabs>
          <w:tab w:val="right" w:pos="9360"/>
        </w:tabs>
        <w:spacing w:after="60" w:before="60"/>
      </w:pPr>
      <w:r>
        <w:rPr>
          <w:rFonts w:ascii="Arial" w:cs="Arial" w:eastAsia="Arial" w:hAnsi="Arial"/>
          <w:color w:val="1A1A1A"/>
          <w:sz w:val="20"/>
          <w:szCs w:val="20"/>
        </w:rPr>
        <w:t xml:space="preserve">1  Introduction &amp; Purpose</w:t>
      </w:r>
      <w:r>
        <w:rPr>
          <w:rFonts w:ascii="Arial" w:cs="Arial" w:eastAsia="Arial" w:hAnsi="Arial"/>
          <w:sz w:val="20"/>
          <w:szCs w:val="20"/>
        </w:rPr>
        <w:t xml:space="preserve">	</w:t>
      </w:r>
      <w:r>
        <w:rPr>
          <w:rFonts w:ascii="Arial" w:cs="Arial" w:eastAsia="Arial" w:hAnsi="Arial"/>
          <w:color w:val="2E6DA4"/>
          <w:sz w:val="20"/>
          <w:szCs w:val="20"/>
        </w:rPr>
        <w:t xml:space="preserve">3</w:t>
      </w:r>
    </w:p>
    <w:p>
      <w:pPr>
        <w:tabs>
          <w:tab w:val="right" w:pos="9360"/>
        </w:tabs>
        <w:spacing w:after="60" w:before="60"/>
      </w:pPr>
      <w:r>
        <w:rPr>
          <w:rFonts w:ascii="Arial" w:cs="Arial" w:eastAsia="Arial" w:hAnsi="Arial"/>
          <w:color w:val="1A1A1A"/>
          <w:sz w:val="20"/>
          <w:szCs w:val="20"/>
        </w:rPr>
        <w:t xml:space="preserve">2  Agent Overview</w:t>
      </w:r>
      <w:r>
        <w:rPr>
          <w:rFonts w:ascii="Arial" w:cs="Arial" w:eastAsia="Arial" w:hAnsi="Arial"/>
          <w:sz w:val="20"/>
          <w:szCs w:val="20"/>
        </w:rPr>
        <w:t xml:space="preserve">	</w:t>
      </w:r>
      <w:r>
        <w:rPr>
          <w:rFonts w:ascii="Arial" w:cs="Arial" w:eastAsia="Arial" w:hAnsi="Arial"/>
          <w:color w:val="2E6DA4"/>
          <w:sz w:val="20"/>
          <w:szCs w:val="20"/>
        </w:rPr>
        <w:t xml:space="preserve">3</w:t>
      </w:r>
    </w:p>
    <w:p>
      <w:pPr>
        <w:tabs>
          <w:tab w:val="right" w:pos="9360"/>
        </w:tabs>
        <w:spacing w:after="60" w:before="60"/>
      </w:pPr>
      <w:r>
        <w:rPr>
          <w:rFonts w:ascii="Arial" w:cs="Arial" w:eastAsia="Arial" w:hAnsi="Arial"/>
          <w:color w:val="1A1A1A"/>
          <w:sz w:val="20"/>
          <w:szCs w:val="20"/>
        </w:rPr>
        <w:t xml:space="preserve">3  Functional Requirements</w:t>
      </w:r>
      <w:r>
        <w:rPr>
          <w:rFonts w:ascii="Arial" w:cs="Arial" w:eastAsia="Arial" w:hAnsi="Arial"/>
          <w:sz w:val="20"/>
          <w:szCs w:val="20"/>
        </w:rPr>
        <w:t xml:space="preserve">	</w:t>
      </w:r>
      <w:r>
        <w:rPr>
          <w:rFonts w:ascii="Arial" w:cs="Arial" w:eastAsia="Arial" w:hAnsi="Arial"/>
          <w:color w:val="2E6DA4"/>
          <w:sz w:val="20"/>
          <w:szCs w:val="20"/>
        </w:rPr>
        <w:t xml:space="preserve">4</w:t>
      </w:r>
    </w:p>
    <w:p>
      <w:pPr>
        <w:tabs>
          <w:tab w:val="right" w:pos="9360"/>
        </w:tabs>
        <w:spacing w:after="60" w:before="60"/>
      </w:pPr>
      <w:r>
        <w:rPr>
          <w:rFonts w:ascii="Arial" w:cs="Arial" w:eastAsia="Arial" w:hAnsi="Arial"/>
          <w:color w:val="1A1A1A"/>
          <w:sz w:val="20"/>
          <w:szCs w:val="20"/>
        </w:rPr>
        <w:t xml:space="preserve">4  Capability Modules</w:t>
      </w:r>
      <w:r>
        <w:rPr>
          <w:rFonts w:ascii="Arial" w:cs="Arial" w:eastAsia="Arial" w:hAnsi="Arial"/>
          <w:sz w:val="20"/>
          <w:szCs w:val="20"/>
        </w:rPr>
        <w:t xml:space="preserve">	</w:t>
      </w:r>
      <w:r>
        <w:rPr>
          <w:rFonts w:ascii="Arial" w:cs="Arial" w:eastAsia="Arial" w:hAnsi="Arial"/>
          <w:color w:val="2E6DA4"/>
          <w:sz w:val="20"/>
          <w:szCs w:val="20"/>
        </w:rPr>
        <w:t xml:space="preserve">6</w:t>
      </w:r>
    </w:p>
    <w:p>
      <w:pPr>
        <w:tabs>
          <w:tab w:val="right" w:pos="9360"/>
        </w:tabs>
        <w:spacing w:after="60" w:before="60"/>
      </w:pPr>
      <w:r>
        <w:rPr>
          <w:rFonts w:ascii="Arial" w:cs="Arial" w:eastAsia="Arial" w:hAnsi="Arial"/>
          <w:color w:val="1A1A1A"/>
          <w:sz w:val="20"/>
          <w:szCs w:val="20"/>
        </w:rPr>
        <w:t xml:space="preserve">5  Data Architecture &amp; Integration</w:t>
      </w:r>
      <w:r>
        <w:rPr>
          <w:rFonts w:ascii="Arial" w:cs="Arial" w:eastAsia="Arial" w:hAnsi="Arial"/>
          <w:sz w:val="20"/>
          <w:szCs w:val="20"/>
        </w:rPr>
        <w:t xml:space="preserve">	</w:t>
      </w:r>
      <w:r>
        <w:rPr>
          <w:rFonts w:ascii="Arial" w:cs="Arial" w:eastAsia="Arial" w:hAnsi="Arial"/>
          <w:color w:val="2E6DA4"/>
          <w:sz w:val="20"/>
          <w:szCs w:val="20"/>
        </w:rPr>
        <w:t xml:space="preserve">8</w:t>
      </w:r>
    </w:p>
    <w:p>
      <w:pPr>
        <w:tabs>
          <w:tab w:val="right" w:pos="9360"/>
        </w:tabs>
        <w:spacing w:after="60" w:before="60"/>
      </w:pPr>
      <w:r>
        <w:rPr>
          <w:rFonts w:ascii="Arial" w:cs="Arial" w:eastAsia="Arial" w:hAnsi="Arial"/>
          <w:color w:val="1A1A1A"/>
          <w:sz w:val="20"/>
          <w:szCs w:val="20"/>
        </w:rPr>
        <w:t xml:space="preserve">6  Technology Stack</w:t>
      </w:r>
      <w:r>
        <w:rPr>
          <w:rFonts w:ascii="Arial" w:cs="Arial" w:eastAsia="Arial" w:hAnsi="Arial"/>
          <w:sz w:val="20"/>
          <w:szCs w:val="20"/>
        </w:rPr>
        <w:t xml:space="preserve">	</w:t>
      </w:r>
      <w:r>
        <w:rPr>
          <w:rFonts w:ascii="Arial" w:cs="Arial" w:eastAsia="Arial" w:hAnsi="Arial"/>
          <w:color w:val="2E6DA4"/>
          <w:sz w:val="20"/>
          <w:szCs w:val="20"/>
        </w:rPr>
        <w:t xml:space="preserve">9</w:t>
      </w:r>
    </w:p>
    <w:p>
      <w:pPr>
        <w:tabs>
          <w:tab w:val="right" w:pos="9360"/>
        </w:tabs>
        <w:spacing w:after="60" w:before="60"/>
      </w:pPr>
      <w:r>
        <w:rPr>
          <w:rFonts w:ascii="Arial" w:cs="Arial" w:eastAsia="Arial" w:hAnsi="Arial"/>
          <w:color w:val="1A1A1A"/>
          <w:sz w:val="20"/>
          <w:szCs w:val="20"/>
        </w:rPr>
        <w:t xml:space="preserve">7  Input / Output Specification</w:t>
      </w:r>
      <w:r>
        <w:rPr>
          <w:rFonts w:ascii="Arial" w:cs="Arial" w:eastAsia="Arial" w:hAnsi="Arial"/>
          <w:sz w:val="20"/>
          <w:szCs w:val="20"/>
        </w:rPr>
        <w:t xml:space="preserve">	</w:t>
      </w:r>
      <w:r>
        <w:rPr>
          <w:rFonts w:ascii="Arial" w:cs="Arial" w:eastAsia="Arial" w:hAnsi="Arial"/>
          <w:color w:val="2E6DA4"/>
          <w:sz w:val="20"/>
          <w:szCs w:val="20"/>
        </w:rPr>
        <w:t xml:space="preserve">10</w:t>
      </w:r>
    </w:p>
    <w:p>
      <w:pPr>
        <w:tabs>
          <w:tab w:val="right" w:pos="9360"/>
        </w:tabs>
        <w:spacing w:after="60" w:before="60"/>
      </w:pPr>
      <w:r>
        <w:rPr>
          <w:rFonts w:ascii="Arial" w:cs="Arial" w:eastAsia="Arial" w:hAnsi="Arial"/>
          <w:color w:val="1A1A1A"/>
          <w:sz w:val="20"/>
          <w:szCs w:val="20"/>
        </w:rPr>
        <w:t xml:space="preserve">8  Performance Requirements</w:t>
      </w:r>
      <w:r>
        <w:rPr>
          <w:rFonts w:ascii="Arial" w:cs="Arial" w:eastAsia="Arial" w:hAnsi="Arial"/>
          <w:sz w:val="20"/>
          <w:szCs w:val="20"/>
        </w:rPr>
        <w:t xml:space="preserve">	</w:t>
      </w:r>
      <w:r>
        <w:rPr>
          <w:rFonts w:ascii="Arial" w:cs="Arial" w:eastAsia="Arial" w:hAnsi="Arial"/>
          <w:color w:val="2E6DA4"/>
          <w:sz w:val="20"/>
          <w:szCs w:val="20"/>
        </w:rPr>
        <w:t xml:space="preserve">11</w:t>
      </w:r>
    </w:p>
    <w:p>
      <w:pPr>
        <w:tabs>
          <w:tab w:val="right" w:pos="9360"/>
        </w:tabs>
        <w:spacing w:after="60" w:before="60"/>
      </w:pPr>
      <w:r>
        <w:rPr>
          <w:rFonts w:ascii="Arial" w:cs="Arial" w:eastAsia="Arial" w:hAnsi="Arial"/>
          <w:color w:val="1A1A1A"/>
          <w:sz w:val="20"/>
          <w:szCs w:val="20"/>
        </w:rPr>
        <w:t xml:space="preserve">9  Security &amp; Compliance</w:t>
      </w:r>
      <w:r>
        <w:rPr>
          <w:rFonts w:ascii="Arial" w:cs="Arial" w:eastAsia="Arial" w:hAnsi="Arial"/>
          <w:sz w:val="20"/>
          <w:szCs w:val="20"/>
        </w:rPr>
        <w:t xml:space="preserve">	</w:t>
      </w:r>
      <w:r>
        <w:rPr>
          <w:rFonts w:ascii="Arial" w:cs="Arial" w:eastAsia="Arial" w:hAnsi="Arial"/>
          <w:color w:val="2E6DA4"/>
          <w:sz w:val="20"/>
          <w:szCs w:val="20"/>
        </w:rPr>
        <w:t xml:space="preserve">12</w:t>
      </w:r>
    </w:p>
    <w:p>
      <w:pPr>
        <w:tabs>
          <w:tab w:val="right" w:pos="9360"/>
        </w:tabs>
        <w:spacing w:after="60" w:before="60"/>
      </w:pPr>
      <w:r>
        <w:rPr>
          <w:rFonts w:ascii="Arial" w:cs="Arial" w:eastAsia="Arial" w:hAnsi="Arial"/>
          <w:color w:val="1A1A1A"/>
          <w:sz w:val="20"/>
          <w:szCs w:val="20"/>
        </w:rPr>
        <w:t xml:space="preserve">10  Dependency Map</w:t>
      </w:r>
      <w:r>
        <w:rPr>
          <w:rFonts w:ascii="Arial" w:cs="Arial" w:eastAsia="Arial" w:hAnsi="Arial"/>
          <w:sz w:val="20"/>
          <w:szCs w:val="20"/>
        </w:rPr>
        <w:t xml:space="preserve">	</w:t>
      </w:r>
      <w:r>
        <w:rPr>
          <w:rFonts w:ascii="Arial" w:cs="Arial" w:eastAsia="Arial" w:hAnsi="Arial"/>
          <w:color w:val="2E6DA4"/>
          <w:sz w:val="20"/>
          <w:szCs w:val="20"/>
        </w:rPr>
        <w:t xml:space="preserve">13</w:t>
      </w:r>
    </w:p>
    <w:p>
      <w:pPr>
        <w:tabs>
          <w:tab w:val="right" w:pos="9360"/>
        </w:tabs>
        <w:spacing w:after="60" w:before="60"/>
      </w:pPr>
      <w:r>
        <w:rPr>
          <w:rFonts w:ascii="Arial" w:cs="Arial" w:eastAsia="Arial" w:hAnsi="Arial"/>
          <w:color w:val="1A1A1A"/>
          <w:sz w:val="20"/>
          <w:szCs w:val="20"/>
        </w:rPr>
        <w:t xml:space="preserve">11  Acceptance Criteria</w:t>
      </w:r>
      <w:r>
        <w:rPr>
          <w:rFonts w:ascii="Arial" w:cs="Arial" w:eastAsia="Arial" w:hAnsi="Arial"/>
          <w:sz w:val="20"/>
          <w:szCs w:val="20"/>
        </w:rPr>
        <w:t xml:space="preserve">	</w:t>
      </w:r>
      <w:r>
        <w:rPr>
          <w:rFonts w:ascii="Arial" w:cs="Arial" w:eastAsia="Arial" w:hAnsi="Arial"/>
          <w:color w:val="2E6DA4"/>
          <w:sz w:val="20"/>
          <w:szCs w:val="20"/>
        </w:rPr>
        <w:t xml:space="preserve">13</w:t>
      </w:r>
    </w:p>
    <w:p>
      <w:pPr>
        <w:tabs>
          <w:tab w:val="right" w:pos="9360"/>
        </w:tabs>
        <w:spacing w:after="60" w:before="60"/>
      </w:pPr>
      <w:r>
        <w:rPr>
          <w:rFonts w:ascii="Arial" w:cs="Arial" w:eastAsia="Arial" w:hAnsi="Arial"/>
          <w:color w:val="1A1A1A"/>
          <w:sz w:val="20"/>
          <w:szCs w:val="20"/>
        </w:rPr>
        <w:t xml:space="preserve">12  Revision History</w:t>
      </w:r>
      <w:r>
        <w:rPr>
          <w:rFonts w:ascii="Arial" w:cs="Arial" w:eastAsia="Arial" w:hAnsi="Arial"/>
          <w:sz w:val="20"/>
          <w:szCs w:val="20"/>
        </w:rPr>
        <w:t xml:space="preserve">	</w:t>
      </w:r>
      <w:r>
        <w:rPr>
          <w:rFonts w:ascii="Arial" w:cs="Arial" w:eastAsia="Arial" w:hAnsi="Arial"/>
          <w:color w:val="2E6DA4"/>
          <w:sz w:val="20"/>
          <w:szCs w:val="20"/>
        </w:rPr>
        <w:t xml:space="preserve">14</w:t>
      </w:r>
    </w:p>
    <w:p>
      <w:r>
        <w:br w:type="page"/>
      </w:r>
    </w:p>
    <w:p>
      <w:pPr>
        <w:pStyle w:val="Heading1"/>
        <w:spacing w:after="160" w:before="400"/>
      </w:pPr>
      <w:r>
        <w:rPr>
          <w:rFonts w:ascii="Arial" w:cs="Arial" w:eastAsia="Arial" w:hAnsi="Arial"/>
          <w:b/>
          <w:bCs/>
          <w:color w:val="1B3A5C"/>
          <w:sz w:val="30"/>
          <w:szCs w:val="30"/>
        </w:rPr>
        <w:t xml:space="preserve">1  Introduction &amp; Purpose</w:t>
      </w:r>
    </w:p>
    <w:p>
      <w:pPr>
        <w:pBdr>
          <w:bottom w:val="single" w:color="2E6DA4" w:sz="4" w:space="1"/>
        </w:pBdr>
        <w:spacing w:after="120" w:before="120"/>
      </w:pPr>
      <w:r>
        <w:t xml:space="preserve"/>
      </w:r>
    </w:p>
    <w:p>
      <w:pPr>
        <w:spacing w:after="0" w:before="0"/>
      </w:pPr>
      <w:r>
        <w:rPr>
          <w:sz w:val="12"/>
          <w:szCs w:val="12"/>
        </w:rPr>
        <w:t xml:space="preserve"/>
      </w:r>
    </w:p>
    <w:p>
      <w:pPr>
        <w:pStyle w:val="Heading2"/>
        <w:spacing w:after="120" w:before="300"/>
      </w:pPr>
      <w:r>
        <w:rPr>
          <w:rFonts w:ascii="Arial" w:cs="Arial" w:eastAsia="Arial" w:hAnsi="Arial"/>
          <w:b/>
          <w:bCs/>
          <w:color w:val="2E6DA4"/>
          <w:sz w:val="24"/>
          <w:szCs w:val="24"/>
        </w:rPr>
        <w:t xml:space="preserve">1.1  Document Purpose</w:t>
      </w:r>
    </w:p>
    <w:p>
      <w:pPr>
        <w:spacing w:after="60" w:before="60"/>
      </w:pPr>
      <w:r>
        <w:rPr>
          <w:rFonts w:ascii="Arial" w:cs="Arial" w:eastAsia="Arial" w:hAnsi="Arial"/>
          <w:color w:val="1A1A1A"/>
          <w:sz w:val="20"/>
          <w:szCs w:val="20"/>
        </w:rPr>
        <w:t xml:space="preserve">This Specification Engineering Document (SED) formally defines the functional scope, technical architecture, data integration requirements, performance standards, and acceptance criteria for AGT-16 — the Supply Chain Analytics &amp; Intelligence Agent within the COCOM Group Digital Workforce Platform.</w:t>
      </w:r>
    </w:p>
    <w:p>
      <w:pPr>
        <w:spacing w:after="0" w:before="0"/>
      </w:pPr>
      <w:r>
        <w:rPr>
          <w:sz w:val="12"/>
          <w:szCs w:val="12"/>
        </w:rPr>
        <w:t xml:space="preserve"/>
      </w:r>
    </w:p>
    <w:p>
      <w:pPr>
        <w:spacing w:after="60" w:before="60"/>
      </w:pPr>
      <w:r>
        <w:rPr>
          <w:rFonts w:ascii="Arial" w:cs="Arial" w:eastAsia="Arial" w:hAnsi="Arial"/>
          <w:color w:val="1A1A1A"/>
          <w:sz w:val="20"/>
          <w:szCs w:val="20"/>
        </w:rPr>
        <w:t xml:space="preserve">This document serves as the authoritative engineering specification governing design, development, testing, and deployment of AGT-16. All implementation decisions must be traceable to requirements stated herein.</w:t>
      </w:r>
    </w:p>
    <w:p>
      <w:pPr>
        <w:spacing w:after="0" w:before="0"/>
      </w:pPr>
      <w:r>
        <w:rPr>
          <w:sz w:val="16"/>
          <w:szCs w:val="16"/>
        </w:rPr>
        <w:t xml:space="preserve"/>
      </w:r>
    </w:p>
    <w:p>
      <w:pPr>
        <w:pStyle w:val="Heading2"/>
        <w:spacing w:after="120" w:before="300"/>
      </w:pPr>
      <w:r>
        <w:rPr>
          <w:rFonts w:ascii="Arial" w:cs="Arial" w:eastAsia="Arial" w:hAnsi="Arial"/>
          <w:b/>
          <w:bCs/>
          <w:color w:val="2E6DA4"/>
          <w:sz w:val="24"/>
          <w:szCs w:val="24"/>
        </w:rPr>
        <w:t xml:space="preserve">1.2  Background</w:t>
      </w:r>
    </w:p>
    <w:p>
      <w:pPr>
        <w:spacing w:after="60" w:before="60"/>
      </w:pPr>
      <w:r>
        <w:rPr>
          <w:rFonts w:ascii="Arial" w:cs="Arial" w:eastAsia="Arial" w:hAnsi="Arial"/>
          <w:color w:val="1A1A1A"/>
          <w:sz w:val="20"/>
          <w:szCs w:val="20"/>
        </w:rPr>
        <w:t xml:space="preserve">COCOM Group's supply chain consulting practice requires a high-throughput analytics agent capable of ingesting heterogeneous client data from enterprise systems, applying statistical and predictive modeling techniques, and producing client-facing deliverables including executive dashboards, benchmark reports, and financial impact models.</w:t>
      </w:r>
    </w:p>
    <w:p>
      <w:pPr>
        <w:spacing w:after="0" w:before="0"/>
      </w:pPr>
      <w:r>
        <w:rPr>
          <w:sz w:val="12"/>
          <w:szCs w:val="12"/>
        </w:rPr>
        <w:t xml:space="preserve"/>
      </w:r>
    </w:p>
    <w:p>
      <w:pPr>
        <w:spacing w:after="60" w:before="60"/>
      </w:pPr>
      <w:r>
        <w:rPr>
          <w:rFonts w:ascii="Arial" w:cs="Arial" w:eastAsia="Arial" w:hAnsi="Arial"/>
          <w:color w:val="1A1A1A"/>
          <w:sz w:val="20"/>
          <w:szCs w:val="20"/>
        </w:rPr>
        <w:t xml:space="preserve">AGT-16 replaces manual analyst workflows with an autonomous, auditable, and scalable intelligence agent that operates continuously across active engagements and maintains a persistent firm knowledge base.</w:t>
      </w:r>
    </w:p>
    <w:p>
      <w:pPr>
        <w:spacing w:after="0" w:before="0"/>
      </w:pPr>
      <w:r>
        <w:rPr>
          <w:sz w:val="16"/>
          <w:szCs w:val="16"/>
        </w:rPr>
        <w:t xml:space="preserve"/>
      </w:r>
    </w:p>
    <w:p>
      <w:pPr>
        <w:pStyle w:val="Heading2"/>
        <w:spacing w:after="120" w:before="300"/>
      </w:pPr>
      <w:r>
        <w:rPr>
          <w:rFonts w:ascii="Arial" w:cs="Arial" w:eastAsia="Arial" w:hAnsi="Arial"/>
          <w:b/>
          <w:bCs/>
          <w:color w:val="2E6DA4"/>
          <w:sz w:val="24"/>
          <w:szCs w:val="24"/>
        </w:rPr>
        <w:t xml:space="preserve">1.3  Scope</w:t>
      </w:r>
    </w:p>
    <w:p>
      <w:pPr>
        <w:spacing w:after="60" w:before="60"/>
      </w:pPr>
      <w:r>
        <w:rPr>
          <w:rFonts w:ascii="Arial" w:cs="Arial" w:eastAsia="Arial" w:hAnsi="Arial"/>
          <w:color w:val="1A1A1A"/>
          <w:sz w:val="20"/>
          <w:szCs w:val="20"/>
        </w:rPr>
        <w:t xml:space="preserve">AGT-16 is scoped to encompass:</w:t>
      </w:r>
    </w:p>
    <w:p>
      <w:pPr>
        <w:pStyle w:val="ListParagraph"/>
        <w:numPr>
          <w:ilvl w:val="0"/>
          <w:numId w:val="2"/>
        </w:numPr>
        <w:spacing w:after="40" w:before="40"/>
      </w:pPr>
      <w:r>
        <w:rPr>
          <w:rFonts w:ascii="Arial" w:cs="Arial" w:eastAsia="Arial" w:hAnsi="Arial"/>
          <w:color w:val="1A1A1A"/>
          <w:sz w:val="20"/>
          <w:szCs w:val="20"/>
        </w:rPr>
        <w:t xml:space="preserve">End-to-end supply chain data aggregation and integration from client enterprise systems</w:t>
      </w:r>
    </w:p>
    <w:p>
      <w:pPr>
        <w:pStyle w:val="ListParagraph"/>
        <w:numPr>
          <w:ilvl w:val="0"/>
          <w:numId w:val="2"/>
        </w:numPr>
        <w:spacing w:after="40" w:before="40"/>
      </w:pPr>
      <w:r>
        <w:rPr>
          <w:rFonts w:ascii="Arial" w:cs="Arial" w:eastAsia="Arial" w:hAnsi="Arial"/>
          <w:color w:val="1A1A1A"/>
          <w:sz w:val="20"/>
          <w:szCs w:val="20"/>
        </w:rPr>
        <w:t xml:space="preserve">Performance measurement, benchmarking, and maturity assessment</w:t>
      </w:r>
    </w:p>
    <w:p>
      <w:pPr>
        <w:pStyle w:val="ListParagraph"/>
        <w:numPr>
          <w:ilvl w:val="0"/>
          <w:numId w:val="2"/>
        </w:numPr>
        <w:spacing w:after="40" w:before="40"/>
      </w:pPr>
      <w:r>
        <w:rPr>
          <w:rFonts w:ascii="Arial" w:cs="Arial" w:eastAsia="Arial" w:hAnsi="Arial"/>
          <w:color w:val="1A1A1A"/>
          <w:sz w:val="20"/>
          <w:szCs w:val="20"/>
        </w:rPr>
        <w:t xml:space="preserve">Statistical root cause analysis and predictive modeling</w:t>
      </w:r>
    </w:p>
    <w:p>
      <w:pPr>
        <w:pStyle w:val="ListParagraph"/>
        <w:numPr>
          <w:ilvl w:val="0"/>
          <w:numId w:val="2"/>
        </w:numPr>
        <w:spacing w:after="40" w:before="40"/>
      </w:pPr>
      <w:r>
        <w:rPr>
          <w:rFonts w:ascii="Arial" w:cs="Arial" w:eastAsia="Arial" w:hAnsi="Arial"/>
          <w:color w:val="1A1A1A"/>
          <w:sz w:val="20"/>
          <w:szCs w:val="20"/>
        </w:rPr>
        <w:t xml:space="preserve">Client and firm deliverable generation</w:t>
      </w:r>
    </w:p>
    <w:p>
      <w:pPr>
        <w:pStyle w:val="ListParagraph"/>
        <w:numPr>
          <w:ilvl w:val="0"/>
          <w:numId w:val="2"/>
        </w:numPr>
        <w:spacing w:after="40" w:before="40"/>
      </w:pPr>
      <w:r>
        <w:rPr>
          <w:rFonts w:ascii="Arial" w:cs="Arial" w:eastAsia="Arial" w:hAnsi="Arial"/>
          <w:color w:val="1A1A1A"/>
          <w:sz w:val="20"/>
          <w:szCs w:val="20"/>
        </w:rPr>
        <w:t xml:space="preserve">Ongoing market intelligence monitoring and competitive analytics</w:t>
      </w:r>
    </w:p>
    <w:p>
      <w:pPr>
        <w:pStyle w:val="ListParagraph"/>
        <w:numPr>
          <w:ilvl w:val="0"/>
          <w:numId w:val="2"/>
        </w:numPr>
        <w:spacing w:after="40" w:before="40"/>
      </w:pPr>
      <w:r>
        <w:rPr>
          <w:rFonts w:ascii="Arial" w:cs="Arial" w:eastAsia="Arial" w:hAnsi="Arial"/>
          <w:color w:val="1A1A1A"/>
          <w:sz w:val="20"/>
          <w:szCs w:val="20"/>
        </w:rPr>
        <w:t xml:space="preserve">Firm-level win/loss and knowledge base management</w:t>
      </w:r>
    </w:p>
    <w:p>
      <w:pPr>
        <w:spacing w:after="0" w:before="0"/>
      </w:pPr>
      <w:r>
        <w:rPr>
          <w:sz w:val="12"/>
          <w:szCs w:val="12"/>
        </w:rPr>
        <w:t xml:space="preserve"/>
      </w:r>
    </w:p>
    <w:p>
      <w:pPr>
        <w:spacing w:after="60" w:before="60"/>
      </w:pPr>
      <w:r>
        <w:rPr>
          <w:rFonts w:ascii="Arial" w:cs="Arial" w:eastAsia="Arial" w:hAnsi="Arial"/>
          <w:color w:val="1A1A1A"/>
          <w:sz w:val="20"/>
          <w:szCs w:val="20"/>
        </w:rPr>
        <w:t xml:space="preserve">Out of scope for AGT-16: direct ERP system write-back, procurement transaction execution, and financial system reconciliation. These capabilities are addressed by separate agents within the Digital Workforce Platform.</w:t>
      </w:r>
    </w:p>
    <w:p>
      <w:r>
        <w:br w:type="page"/>
      </w:r>
    </w:p>
    <w:p>
      <w:pPr>
        <w:pStyle w:val="Heading1"/>
        <w:spacing w:after="160" w:before="400"/>
      </w:pPr>
      <w:r>
        <w:rPr>
          <w:rFonts w:ascii="Arial" w:cs="Arial" w:eastAsia="Arial" w:hAnsi="Arial"/>
          <w:b/>
          <w:bCs/>
          <w:color w:val="1B3A5C"/>
          <w:sz w:val="30"/>
          <w:szCs w:val="30"/>
        </w:rPr>
        <w:t xml:space="preserve">2  Agent Overview</w:t>
      </w:r>
    </w:p>
    <w:p>
      <w:pPr>
        <w:pBdr>
          <w:bottom w:val="single" w:color="2E6DA4" w:sz="4" w:space="1"/>
        </w:pBdr>
        <w:spacing w:after="120" w:before="120"/>
      </w:pPr>
      <w:r>
        <w:t xml:space="preserve"/>
      </w:r>
    </w:p>
    <w:p>
      <w:pPr>
        <w:spacing w:after="0" w:before="0"/>
      </w:pPr>
      <w:r>
        <w:rPr>
          <w:sz w:val="12"/>
          <w:szCs w:val="12"/>
        </w:rPr>
        <w:t xml:space="preserve"/>
      </w:r>
    </w:p>
    <w:p>
      <w:pPr>
        <w:pStyle w:val="Heading2"/>
        <w:spacing w:after="120" w:before="300"/>
      </w:pPr>
      <w:r>
        <w:rPr>
          <w:rFonts w:ascii="Arial" w:cs="Arial" w:eastAsia="Arial" w:hAnsi="Arial"/>
          <w:b/>
          <w:bCs/>
          <w:color w:val="2E6DA4"/>
          <w:sz w:val="24"/>
          <w:szCs w:val="24"/>
        </w:rPr>
        <w:t xml:space="preserve">2.1  Agent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9D4DF" w:sz="1"/>
              <w:left w:val="single" w:color="C9D4DF" w:sz="1"/>
              <w:bottom w:val="single" w:color="C9D4DF" w:sz="1"/>
              <w:right w:val="single" w:color="C9D4DF"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Attribute</w:t>
            </w:r>
          </w:p>
        </w:tc>
        <w:tc>
          <w:tcPr>
            <w:tcW w:type="dxa" w:w="6240"/>
            <w:tcBorders>
              <w:top w:val="single" w:color="C9D4DF" w:sz="1"/>
              <w:left w:val="single" w:color="C9D4DF" w:sz="1"/>
              <w:bottom w:val="single" w:color="C9D4DF" w:sz="1"/>
              <w:right w:val="single" w:color="C9D4DF"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Value</w:t>
            </w:r>
          </w:p>
        </w:tc>
      </w:tr>
      <w:tr>
        <w:tc>
          <w:tcPr>
            <w:tcW w:type="dxa" w:w="312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Agent ID</w:t>
            </w:r>
          </w:p>
        </w:tc>
        <w:tc>
          <w:tcPr>
            <w:tcW w:type="dxa" w:w="624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AGT-16</w:t>
            </w:r>
          </w:p>
        </w:tc>
      </w:tr>
      <w:tr>
        <w:tc>
          <w:tcPr>
            <w:tcW w:type="dxa" w:w="312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Agent Name</w:t>
            </w:r>
          </w:p>
        </w:tc>
        <w:tc>
          <w:tcPr>
            <w:tcW w:type="dxa" w:w="624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Supply Chain Analytics &amp; Intelligence Agent</w:t>
            </w:r>
          </w:p>
        </w:tc>
      </w:tr>
      <w:tr>
        <w:tc>
          <w:tcPr>
            <w:tcW w:type="dxa" w:w="312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Agent Class</w:t>
            </w:r>
          </w:p>
        </w:tc>
        <w:tc>
          <w:tcPr>
            <w:tcW w:type="dxa" w:w="624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Analytics Intelligence / Autonomous Reporting</w:t>
            </w:r>
          </w:p>
        </w:tc>
      </w:tr>
      <w:tr>
        <w:tc>
          <w:tcPr>
            <w:tcW w:type="dxa" w:w="312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Domain</w:t>
            </w:r>
          </w:p>
        </w:tc>
        <w:tc>
          <w:tcPr>
            <w:tcW w:type="dxa" w:w="624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Supply Chain Management</w:t>
            </w:r>
          </w:p>
        </w:tc>
      </w:tr>
      <w:tr>
        <w:tc>
          <w:tcPr>
            <w:tcW w:type="dxa" w:w="312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Owning Practice</w:t>
            </w:r>
          </w:p>
        </w:tc>
        <w:tc>
          <w:tcPr>
            <w:tcW w:type="dxa" w:w="624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Supply Chain Consulting</w:t>
            </w:r>
          </w:p>
        </w:tc>
      </w:tr>
      <w:tr>
        <w:tc>
          <w:tcPr>
            <w:tcW w:type="dxa" w:w="312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Orchestrator</w:t>
            </w:r>
          </w:p>
        </w:tc>
        <w:tc>
          <w:tcPr>
            <w:tcW w:type="dxa" w:w="624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AGT-00 (Digital Workforce Orchestrator)</w:t>
            </w:r>
          </w:p>
        </w:tc>
      </w:tr>
      <w:tr>
        <w:tc>
          <w:tcPr>
            <w:tcW w:type="dxa" w:w="312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Primary Users</w:t>
            </w:r>
          </w:p>
        </w:tc>
        <w:tc>
          <w:tcPr>
            <w:tcW w:type="dxa" w:w="624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Engagement Managers, Practice Partners, Client Executive Teams</w:t>
            </w:r>
          </w:p>
        </w:tc>
      </w:tr>
      <w:tr>
        <w:tc>
          <w:tcPr>
            <w:tcW w:type="dxa" w:w="312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Deployment Target</w:t>
            </w:r>
          </w:p>
        </w:tc>
        <w:tc>
          <w:tcPr>
            <w:tcW w:type="dxa" w:w="624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Azure Databricks / Snowflake Data Platform</w:t>
            </w:r>
          </w:p>
        </w:tc>
      </w:tr>
      <w:tr>
        <w:tc>
          <w:tcPr>
            <w:tcW w:type="dxa" w:w="312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Agent Version</w:t>
            </w:r>
          </w:p>
        </w:tc>
        <w:tc>
          <w:tcPr>
            <w:tcW w:type="dxa" w:w="624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1.0.0-alpha</w:t>
            </w:r>
          </w:p>
        </w:tc>
      </w:tr>
    </w:tbl>
    <w:p>
      <w:pPr>
        <w:spacing w:after="0" w:before="0"/>
      </w:pPr>
      <w:r>
        <w:rPr>
          <w:sz w:val="24"/>
          <w:szCs w:val="24"/>
        </w:rPr>
        <w:t xml:space="preserve"/>
      </w:r>
    </w:p>
    <w:p>
      <w:pPr>
        <w:pStyle w:val="Heading2"/>
        <w:spacing w:after="120" w:before="300"/>
      </w:pPr>
      <w:r>
        <w:rPr>
          <w:rFonts w:ascii="Arial" w:cs="Arial" w:eastAsia="Arial" w:hAnsi="Arial"/>
          <w:b/>
          <w:bCs/>
          <w:color w:val="2E6DA4"/>
          <w:sz w:val="24"/>
          <w:szCs w:val="24"/>
        </w:rPr>
        <w:t xml:space="preserve">2.2  Agent Mission Statement</w:t>
      </w:r>
    </w:p>
    <w:p>
      <w:pPr>
        <w:spacing w:after="60" w:before="60"/>
      </w:pPr>
      <w:r>
        <w:rPr>
          <w:rFonts w:ascii="Arial" w:cs="Arial" w:eastAsia="Arial" w:hAnsi="Arial"/>
          <w:color w:val="1A1A1A"/>
          <w:sz w:val="20"/>
          <w:szCs w:val="20"/>
        </w:rPr>
        <w:t xml:space="preserve">AGT-16 shall autonomously aggregate, analyze, and synthesize supply chain data across client engagements to generate analytically rigorous, board-ready deliverables; maintain an authoritative firm knowledge base of benchmarks, models, and methodology assets; and produce continuous market intelligence that elevates consulting quality, accelerates engagement delivery, and drives measurable client outcomes.</w:t>
      </w:r>
    </w:p>
    <w:p>
      <w:pPr>
        <w:spacing w:after="0" w:before="0"/>
      </w:pPr>
      <w:r>
        <w:rPr>
          <w:sz w:val="16"/>
          <w:szCs w:val="16"/>
        </w:rPr>
        <w:t xml:space="preserve"/>
      </w:r>
    </w:p>
    <w:p>
      <w:pPr>
        <w:pStyle w:val="Heading2"/>
        <w:spacing w:after="120" w:before="300"/>
      </w:pPr>
      <w:r>
        <w:rPr>
          <w:rFonts w:ascii="Arial" w:cs="Arial" w:eastAsia="Arial" w:hAnsi="Arial"/>
          <w:b/>
          <w:bCs/>
          <w:color w:val="2E6DA4"/>
          <w:sz w:val="24"/>
          <w:szCs w:val="24"/>
        </w:rPr>
        <w:t xml:space="preserve">2.3  Operational Mode</w:t>
      </w:r>
    </w:p>
    <w:p>
      <w:pPr>
        <w:spacing w:after="60" w:before="60"/>
      </w:pPr>
      <w:r>
        <w:rPr>
          <w:rFonts w:ascii="Arial" w:cs="Arial" w:eastAsia="Arial" w:hAnsi="Arial"/>
          <w:color w:val="1A1A1A"/>
          <w:sz w:val="20"/>
          <w:szCs w:val="20"/>
        </w:rPr>
        <w:t xml:space="preserve">AGT-16 operates in three concurrent modes:</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000"/>
        <w:gridCol w:w="4020"/>
      </w:tblGrid>
      <w:tr>
        <w:tc>
          <w:tcPr>
            <w:tcW w:type="dxa" w:w="2340"/>
            <w:tcBorders>
              <w:top w:val="single" w:color="C9D4DF" w:sz="1"/>
              <w:left w:val="single" w:color="C9D4DF" w:sz="1"/>
              <w:bottom w:val="single" w:color="C9D4DF" w:sz="1"/>
              <w:right w:val="single" w:color="C9D4DF"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Mode</w:t>
            </w:r>
          </w:p>
        </w:tc>
        <w:tc>
          <w:tcPr>
            <w:tcW w:type="dxa" w:w="3000"/>
            <w:tcBorders>
              <w:top w:val="single" w:color="C9D4DF" w:sz="1"/>
              <w:left w:val="single" w:color="C9D4DF" w:sz="1"/>
              <w:bottom w:val="single" w:color="C9D4DF" w:sz="1"/>
              <w:right w:val="single" w:color="C9D4DF"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Trigger</w:t>
            </w:r>
          </w:p>
        </w:tc>
        <w:tc>
          <w:tcPr>
            <w:tcW w:type="dxa" w:w="4020"/>
            <w:tcBorders>
              <w:top w:val="single" w:color="C9D4DF" w:sz="1"/>
              <w:left w:val="single" w:color="C9D4DF" w:sz="1"/>
              <w:bottom w:val="single" w:color="C9D4DF" w:sz="1"/>
              <w:right w:val="single" w:color="C9D4DF"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34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Engagement Mode</w:t>
            </w:r>
          </w:p>
        </w:tc>
        <w:tc>
          <w:tcPr>
            <w:tcW w:type="dxa" w:w="30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On-demand / Scheduled</w:t>
            </w:r>
          </w:p>
        </w:tc>
        <w:tc>
          <w:tcPr>
            <w:tcW w:type="dxa" w:w="402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Active client data processing, deliverable generation, and status reporting</w:t>
            </w:r>
          </w:p>
        </w:tc>
      </w:tr>
      <w:tr>
        <w:tc>
          <w:tcPr>
            <w:tcW w:type="dxa" w:w="234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Monitoring Mode</w:t>
            </w:r>
          </w:p>
        </w:tc>
        <w:tc>
          <w:tcPr>
            <w:tcW w:type="dxa" w:w="30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Continuous (24/7)</w:t>
            </w:r>
          </w:p>
        </w:tc>
        <w:tc>
          <w:tcPr>
            <w:tcW w:type="dxa" w:w="402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Market intelligence ingestion, commodity price tracking, disruption signal detection</w:t>
            </w:r>
          </w:p>
        </w:tc>
      </w:tr>
      <w:tr>
        <w:tc>
          <w:tcPr>
            <w:tcW w:type="dxa" w:w="234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Firm Knowledge Mode</w:t>
            </w:r>
          </w:p>
        </w:tc>
        <w:tc>
          <w:tcPr>
            <w:tcW w:type="dxa" w:w="30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Post-engagement / Periodic</w:t>
            </w:r>
          </w:p>
        </w:tc>
        <w:tc>
          <w:tcPr>
            <w:tcW w:type="dxa" w:w="402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Knowledge base maintenance, benchmark updates, win/loss analytics, and methodology curation</w:t>
            </w:r>
          </w:p>
        </w:tc>
      </w:tr>
    </w:tbl>
    <w:p>
      <w:r>
        <w:br w:type="page"/>
      </w:r>
    </w:p>
    <w:p>
      <w:pPr>
        <w:pStyle w:val="Heading1"/>
        <w:spacing w:after="160" w:before="400"/>
      </w:pPr>
      <w:r>
        <w:rPr>
          <w:rFonts w:ascii="Arial" w:cs="Arial" w:eastAsia="Arial" w:hAnsi="Arial"/>
          <w:b/>
          <w:bCs/>
          <w:color w:val="1B3A5C"/>
          <w:sz w:val="30"/>
          <w:szCs w:val="30"/>
        </w:rPr>
        <w:t xml:space="preserve">3  Functional Requirements</w:t>
      </w:r>
    </w:p>
    <w:p>
      <w:pPr>
        <w:pBdr>
          <w:bottom w:val="single" w:color="2E6DA4" w:sz="4" w:space="1"/>
        </w:pBdr>
        <w:spacing w:after="120" w:before="120"/>
      </w:pPr>
      <w:r>
        <w:t xml:space="preserve"/>
      </w:r>
    </w:p>
    <w:p>
      <w:pPr>
        <w:spacing w:after="0" w:before="0"/>
      </w:pPr>
      <w:r>
        <w:rPr>
          <w:sz w:val="12"/>
          <w:szCs w:val="12"/>
        </w:rPr>
        <w:t xml:space="preserve"/>
      </w:r>
    </w:p>
    <w:p>
      <w:pPr>
        <w:spacing w:after="60" w:before="60"/>
      </w:pPr>
      <w:r>
        <w:rPr>
          <w:rFonts w:ascii="Arial" w:cs="Arial" w:eastAsia="Arial" w:hAnsi="Arial"/>
          <w:color w:val="1A1A1A"/>
          <w:sz w:val="20"/>
          <w:szCs w:val="20"/>
        </w:rPr>
        <w:t xml:space="preserve">The following functional requirements define the behavioral obligations of AGT-16. Requirements are classified using MoSCoW prioritization: Must Have, Should Have, Could Have, and Won't Have (this release).</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60"/>
        <w:gridCol w:w="1200"/>
        <w:gridCol w:w="2400"/>
      </w:tblGrid>
      <w:tr>
        <w:tc>
          <w:tcPr>
            <w:tcW w:type="dxa" w:w="900"/>
            <w:tcBorders>
              <w:top w:val="single" w:color="C9D4DF" w:sz="1"/>
              <w:left w:val="single" w:color="C9D4DF" w:sz="1"/>
              <w:bottom w:val="single" w:color="C9D4DF" w:sz="1"/>
              <w:right w:val="single" w:color="C9D4DF"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Req. ID</w:t>
            </w:r>
          </w:p>
        </w:tc>
        <w:tc>
          <w:tcPr>
            <w:tcW w:type="dxa" w:w="4860"/>
            <w:tcBorders>
              <w:top w:val="single" w:color="C9D4DF" w:sz="1"/>
              <w:left w:val="single" w:color="C9D4DF" w:sz="1"/>
              <w:bottom w:val="single" w:color="C9D4DF" w:sz="1"/>
              <w:right w:val="single" w:color="C9D4DF"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Requirement Statement</w:t>
            </w:r>
          </w:p>
        </w:tc>
        <w:tc>
          <w:tcPr>
            <w:tcW w:type="dxa" w:w="1200"/>
            <w:tcBorders>
              <w:top w:val="single" w:color="C9D4DF" w:sz="1"/>
              <w:left w:val="single" w:color="C9D4DF" w:sz="1"/>
              <w:bottom w:val="single" w:color="C9D4DF" w:sz="1"/>
              <w:right w:val="single" w:color="C9D4DF"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Priority</w:t>
            </w:r>
          </w:p>
        </w:tc>
        <w:tc>
          <w:tcPr>
            <w:tcW w:type="dxa" w:w="2400"/>
            <w:tcBorders>
              <w:top w:val="single" w:color="C9D4DF" w:sz="1"/>
              <w:left w:val="single" w:color="C9D4DF" w:sz="1"/>
              <w:bottom w:val="single" w:color="C9D4DF" w:sz="1"/>
              <w:right w:val="single" w:color="C9D4DF"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r>
      <w:tr>
        <w:tc>
          <w:tcPr>
            <w:tcW w:type="dxa" w:w="9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FR-01</w:t>
            </w:r>
          </w:p>
        </w:tc>
        <w:tc>
          <w:tcPr>
            <w:tcW w:type="dxa" w:w="48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The agent SHALL aggregate and integrate client data from ERP, WMS, TMS, supply chain planning, and procurement systems via configurable connectors.</w:t>
            </w:r>
          </w:p>
        </w:tc>
        <w:tc>
          <w:tcPr>
            <w:tcW w:type="dxa" w:w="12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Must Have</w:t>
            </w:r>
          </w:p>
        </w:tc>
        <w:tc>
          <w:tcPr>
            <w:tcW w:type="dxa" w:w="24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Data Integration</w:t>
            </w:r>
          </w:p>
        </w:tc>
      </w:tr>
      <w:tr>
        <w:tc>
          <w:tcPr>
            <w:tcW w:type="dxa" w:w="9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FR-02</w:t>
            </w:r>
          </w:p>
        </w:tc>
        <w:tc>
          <w:tcPr>
            <w:tcW w:type="dxa" w:w="486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The agent SHALL construct a supply chain performance baseline encompassing cost, service level, inventory, quality, and resilience metrics for each engagement.</w:t>
            </w:r>
          </w:p>
        </w:tc>
        <w:tc>
          <w:tcPr>
            <w:tcW w:type="dxa" w:w="12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Must Have</w:t>
            </w:r>
          </w:p>
        </w:tc>
        <w:tc>
          <w:tcPr>
            <w:tcW w:type="dxa" w:w="24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Performance Baseline</w:t>
            </w:r>
          </w:p>
        </w:tc>
      </w:tr>
      <w:tr>
        <w:tc>
          <w:tcPr>
            <w:tcW w:type="dxa" w:w="9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FR-03</w:t>
            </w:r>
          </w:p>
        </w:tc>
        <w:tc>
          <w:tcPr>
            <w:tcW w:type="dxa" w:w="48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The agent SHALL develop end-to-end supply chain visibility dashboards suitable for client executive team consumption.</w:t>
            </w:r>
          </w:p>
        </w:tc>
        <w:tc>
          <w:tcPr>
            <w:tcW w:type="dxa" w:w="12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Must Have</w:t>
            </w:r>
          </w:p>
        </w:tc>
        <w:tc>
          <w:tcPr>
            <w:tcW w:type="dxa" w:w="24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Dashboard &amp; Reporting</w:t>
            </w:r>
          </w:p>
        </w:tc>
      </w:tr>
      <w:tr>
        <w:tc>
          <w:tcPr>
            <w:tcW w:type="dxa" w:w="9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FR-04</w:t>
            </w:r>
          </w:p>
        </w:tc>
        <w:tc>
          <w:tcPr>
            <w:tcW w:type="dxa" w:w="486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The agent SHALL produce industry benchmark comparisons mapping client KPIs against peer-group and best-in-class benchmarks sourced from Gartner, Hackett Group, and proprietary firm datasets.</w:t>
            </w:r>
          </w:p>
        </w:tc>
        <w:tc>
          <w:tcPr>
            <w:tcW w:type="dxa" w:w="12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Must Have</w:t>
            </w:r>
          </w:p>
        </w:tc>
        <w:tc>
          <w:tcPr>
            <w:tcW w:type="dxa" w:w="24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Benchmarking</w:t>
            </w:r>
          </w:p>
        </w:tc>
      </w:tr>
      <w:tr>
        <w:tc>
          <w:tcPr>
            <w:tcW w:type="dxa" w:w="9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FR-05</w:t>
            </w:r>
          </w:p>
        </w:tc>
        <w:tc>
          <w:tcPr>
            <w:tcW w:type="dxa" w:w="48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The agent SHALL compute cost-to-serve analysis including landed cost decomposition by customer, channel, and product SKU.</w:t>
            </w:r>
          </w:p>
        </w:tc>
        <w:tc>
          <w:tcPr>
            <w:tcW w:type="dxa" w:w="12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Must Have</w:t>
            </w:r>
          </w:p>
        </w:tc>
        <w:tc>
          <w:tcPr>
            <w:tcW w:type="dxa" w:w="24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Cost Analytics</w:t>
            </w:r>
          </w:p>
        </w:tc>
      </w:tr>
      <w:tr>
        <w:tc>
          <w:tcPr>
            <w:tcW w:type="dxa" w:w="9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FR-06</w:t>
            </w:r>
          </w:p>
        </w:tc>
        <w:tc>
          <w:tcPr>
            <w:tcW w:type="dxa" w:w="486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The agent SHALL execute statistical root cause analysis on identified supply chain performance gaps using data mining and pattern detection techniques.</w:t>
            </w:r>
          </w:p>
        </w:tc>
        <w:tc>
          <w:tcPr>
            <w:tcW w:type="dxa" w:w="12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Must Have</w:t>
            </w:r>
          </w:p>
        </w:tc>
        <w:tc>
          <w:tcPr>
            <w:tcW w:type="dxa" w:w="24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RCA &amp; Diagnostics</w:t>
            </w:r>
          </w:p>
        </w:tc>
      </w:tr>
      <w:tr>
        <w:tc>
          <w:tcPr>
            <w:tcW w:type="dxa" w:w="9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FR-07</w:t>
            </w:r>
          </w:p>
        </w:tc>
        <w:tc>
          <w:tcPr>
            <w:tcW w:type="dxa" w:w="48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The agent SHALL generate engagement deliverable data packages including formatted exhibits, charts, and supporting statistical analysis in client-ready formats.</w:t>
            </w:r>
          </w:p>
        </w:tc>
        <w:tc>
          <w:tcPr>
            <w:tcW w:type="dxa" w:w="12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Must Have</w:t>
            </w:r>
          </w:p>
        </w:tc>
        <w:tc>
          <w:tcPr>
            <w:tcW w:type="dxa" w:w="24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Deliverable Generation</w:t>
            </w:r>
          </w:p>
        </w:tc>
      </w:tr>
      <w:tr>
        <w:tc>
          <w:tcPr>
            <w:tcW w:type="dxa" w:w="9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FR-08</w:t>
            </w:r>
          </w:p>
        </w:tc>
        <w:tc>
          <w:tcPr>
            <w:tcW w:type="dxa" w:w="486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The agent SHALL build and maintain financial impact models that quantify projected savings, risk exposure, and return on investment for all consulting recommendations.</w:t>
            </w:r>
          </w:p>
        </w:tc>
        <w:tc>
          <w:tcPr>
            <w:tcW w:type="dxa" w:w="12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Must Have</w:t>
            </w:r>
          </w:p>
        </w:tc>
        <w:tc>
          <w:tcPr>
            <w:tcW w:type="dxa" w:w="24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Financial Modeling</w:t>
            </w:r>
          </w:p>
        </w:tc>
      </w:tr>
      <w:tr>
        <w:tc>
          <w:tcPr>
            <w:tcW w:type="dxa" w:w="9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FR-09</w:t>
            </w:r>
          </w:p>
        </w:tc>
        <w:tc>
          <w:tcPr>
            <w:tcW w:type="dxa" w:w="48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The agent SHALL continuously monitor supply chain market intelligence signals including commodity prices, carrier rate indices, labor cost trends, and disruption indicators.</w:t>
            </w:r>
          </w:p>
        </w:tc>
        <w:tc>
          <w:tcPr>
            <w:tcW w:type="dxa" w:w="12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Must Have</w:t>
            </w:r>
          </w:p>
        </w:tc>
        <w:tc>
          <w:tcPr>
            <w:tcW w:type="dxa" w:w="24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Market Intelligence</w:t>
            </w:r>
          </w:p>
        </w:tc>
      </w:tr>
      <w:tr>
        <w:tc>
          <w:tcPr>
            <w:tcW w:type="dxa" w:w="9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FR-10</w:t>
            </w:r>
          </w:p>
        </w:tc>
        <w:tc>
          <w:tcPr>
            <w:tcW w:type="dxa" w:w="486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The agent SHALL produce weekly engagement status reports tracking milestone completion, KPI performance versus targets, and engagement health indicators.</w:t>
            </w:r>
          </w:p>
        </w:tc>
        <w:tc>
          <w:tcPr>
            <w:tcW w:type="dxa" w:w="12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Must Have</w:t>
            </w:r>
          </w:p>
        </w:tc>
        <w:tc>
          <w:tcPr>
            <w:tcW w:type="dxa" w:w="24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Engagement Reporting</w:t>
            </w:r>
          </w:p>
        </w:tc>
      </w:tr>
      <w:tr>
        <w:tc>
          <w:tcPr>
            <w:tcW w:type="dxa" w:w="9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FR-11</w:t>
            </w:r>
          </w:p>
        </w:tc>
        <w:tc>
          <w:tcPr>
            <w:tcW w:type="dxa" w:w="48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The agent SHALL build and maintain a supply chain maturity scorecard with gap-to-best-practice analysis across defined capability domains.</w:t>
            </w:r>
          </w:p>
        </w:tc>
        <w:tc>
          <w:tcPr>
            <w:tcW w:type="dxa" w:w="12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Should Have</w:t>
            </w:r>
          </w:p>
        </w:tc>
        <w:tc>
          <w:tcPr>
            <w:tcW w:type="dxa" w:w="24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Maturity Assessment</w:t>
            </w:r>
          </w:p>
        </w:tc>
      </w:tr>
      <w:tr>
        <w:tc>
          <w:tcPr>
            <w:tcW w:type="dxa" w:w="9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FR-12</w:t>
            </w:r>
          </w:p>
        </w:tc>
        <w:tc>
          <w:tcPr>
            <w:tcW w:type="dxa" w:w="486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The agent SHALL generate post-implementation tracking reports measuring realized benefits against approved business case projections.</w:t>
            </w:r>
          </w:p>
        </w:tc>
        <w:tc>
          <w:tcPr>
            <w:tcW w:type="dxa" w:w="12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Should Have</w:t>
            </w:r>
          </w:p>
        </w:tc>
        <w:tc>
          <w:tcPr>
            <w:tcW w:type="dxa" w:w="24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Post-Implementation</w:t>
            </w:r>
          </w:p>
        </w:tc>
      </w:tr>
      <w:tr>
        <w:tc>
          <w:tcPr>
            <w:tcW w:type="dxa" w:w="9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FR-13</w:t>
            </w:r>
          </w:p>
        </w:tc>
        <w:tc>
          <w:tcPr>
            <w:tcW w:type="dxa" w:w="48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The agent SHALL conduct competitive intelligence analysis covering peer company supply chain strategies, capital investments, and disclosed performance metrics.</w:t>
            </w:r>
          </w:p>
        </w:tc>
        <w:tc>
          <w:tcPr>
            <w:tcW w:type="dxa" w:w="12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Should Have</w:t>
            </w:r>
          </w:p>
        </w:tc>
        <w:tc>
          <w:tcPr>
            <w:tcW w:type="dxa" w:w="24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Competitive Intelligence</w:t>
            </w:r>
          </w:p>
        </w:tc>
      </w:tr>
      <w:tr>
        <w:tc>
          <w:tcPr>
            <w:tcW w:type="dxa" w:w="9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FR-14</w:t>
            </w:r>
          </w:p>
        </w:tc>
        <w:tc>
          <w:tcPr>
            <w:tcW w:type="dxa" w:w="486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The agent SHALL build predictive analytics models for demand signals, supply risk indicators, capacity constraints, and landed cost forecasts.</w:t>
            </w:r>
          </w:p>
        </w:tc>
        <w:tc>
          <w:tcPr>
            <w:tcW w:type="dxa" w:w="12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Should Have</w:t>
            </w:r>
          </w:p>
        </w:tc>
        <w:tc>
          <w:tcPr>
            <w:tcW w:type="dxa" w:w="24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Predictive Analytics</w:t>
            </w:r>
          </w:p>
        </w:tc>
      </w:tr>
      <w:tr>
        <w:tc>
          <w:tcPr>
            <w:tcW w:type="dxa" w:w="9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FR-15</w:t>
            </w:r>
          </w:p>
        </w:tc>
        <w:tc>
          <w:tcPr>
            <w:tcW w:type="dxa" w:w="48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The agent SHALL produce board-level and C-suite supply chain performance presentations formatted to consulting firm presentation standards.</w:t>
            </w:r>
          </w:p>
        </w:tc>
        <w:tc>
          <w:tcPr>
            <w:tcW w:type="dxa" w:w="12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Must Have</w:t>
            </w:r>
          </w:p>
        </w:tc>
        <w:tc>
          <w:tcPr>
            <w:tcW w:type="dxa" w:w="24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Executive Reporting</w:t>
            </w:r>
          </w:p>
        </w:tc>
      </w:tr>
      <w:tr>
        <w:tc>
          <w:tcPr>
            <w:tcW w:type="dxa" w:w="9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FR-16</w:t>
            </w:r>
          </w:p>
        </w:tc>
        <w:tc>
          <w:tcPr>
            <w:tcW w:type="dxa" w:w="486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The agent SHALL maintain a persistent firm knowledge base containing all client data assets, benchmark libraries, analytical models, and methodology documentation.</w:t>
            </w:r>
          </w:p>
        </w:tc>
        <w:tc>
          <w:tcPr>
            <w:tcW w:type="dxa" w:w="12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Must Have</w:t>
            </w:r>
          </w:p>
        </w:tc>
        <w:tc>
          <w:tcPr>
            <w:tcW w:type="dxa" w:w="24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Knowledge Management</w:t>
            </w:r>
          </w:p>
        </w:tc>
      </w:tr>
      <w:tr>
        <w:tc>
          <w:tcPr>
            <w:tcW w:type="dxa" w:w="9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FR-17</w:t>
            </w:r>
          </w:p>
        </w:tc>
        <w:tc>
          <w:tcPr>
            <w:tcW w:type="dxa" w:w="48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The agent SHALL generate regulatory trend reports and industry developments relevant to supply chain practice areas.</w:t>
            </w:r>
          </w:p>
        </w:tc>
        <w:tc>
          <w:tcPr>
            <w:tcW w:type="dxa" w:w="12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Could Have</w:t>
            </w:r>
          </w:p>
        </w:tc>
        <w:tc>
          <w:tcPr>
            <w:tcW w:type="dxa" w:w="24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Regulatory Intelligence</w:t>
            </w:r>
          </w:p>
        </w:tc>
      </w:tr>
      <w:tr>
        <w:tc>
          <w:tcPr>
            <w:tcW w:type="dxa" w:w="9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FR-18</w:t>
            </w:r>
          </w:p>
        </w:tc>
        <w:tc>
          <w:tcPr>
            <w:tcW w:type="dxa" w:w="486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The agent SHALL build firm-level win/loss analytics tracking proposal outcomes, pricing competitiveness, and competitive positioning across business development activities.</w:t>
            </w:r>
          </w:p>
        </w:tc>
        <w:tc>
          <w:tcPr>
            <w:tcW w:type="dxa" w:w="12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Could Have</w:t>
            </w:r>
          </w:p>
        </w:tc>
        <w:tc>
          <w:tcPr>
            <w:tcW w:type="dxa" w:w="24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Firm Analytics</w:t>
            </w:r>
          </w:p>
        </w:tc>
      </w:tr>
    </w:tbl>
    <w:p>
      <w:r>
        <w:br w:type="page"/>
      </w:r>
    </w:p>
    <w:p>
      <w:pPr>
        <w:pStyle w:val="Heading1"/>
        <w:spacing w:after="160" w:before="400"/>
      </w:pPr>
      <w:r>
        <w:rPr>
          <w:rFonts w:ascii="Arial" w:cs="Arial" w:eastAsia="Arial" w:hAnsi="Arial"/>
          <w:b/>
          <w:bCs/>
          <w:color w:val="1B3A5C"/>
          <w:sz w:val="30"/>
          <w:szCs w:val="30"/>
        </w:rPr>
        <w:t xml:space="preserve">4  Capability Modules</w:t>
      </w:r>
    </w:p>
    <w:p>
      <w:pPr>
        <w:pBdr>
          <w:bottom w:val="single" w:color="2E6DA4" w:sz="4" w:space="1"/>
        </w:pBdr>
        <w:spacing w:after="120" w:before="120"/>
      </w:pPr>
      <w:r>
        <w:t xml:space="preserve"/>
      </w:r>
    </w:p>
    <w:p>
      <w:pPr>
        <w:spacing w:after="0" w:before="0"/>
      </w:pPr>
      <w:r>
        <w:rPr>
          <w:sz w:val="12"/>
          <w:szCs w:val="12"/>
        </w:rPr>
        <w:t xml:space="preserve"/>
      </w:r>
    </w:p>
    <w:p>
      <w:pPr>
        <w:spacing w:after="60" w:before="60"/>
      </w:pPr>
      <w:r>
        <w:rPr>
          <w:rFonts w:ascii="Arial" w:cs="Arial" w:eastAsia="Arial" w:hAnsi="Arial"/>
          <w:color w:val="1A1A1A"/>
          <w:sz w:val="20"/>
          <w:szCs w:val="20"/>
        </w:rPr>
        <w:t xml:space="preserve">AGT-16 is decomposed into ten (10) capability modules. Each module is independently deployable, versioned, and testable. The table below provides a summary index followed by detailed specifications for each module.</w:t>
      </w:r>
    </w:p>
    <w:p>
      <w:pPr>
        <w:spacing w:after="0" w:before="0"/>
      </w:pPr>
      <w:r>
        <w:rPr>
          <w:sz w:val="16"/>
          <w:szCs w:val="16"/>
        </w:rPr>
        <w:t xml:space="preserve"/>
      </w:r>
    </w:p>
    <w:p>
      <w:pPr>
        <w:pStyle w:val="Heading2"/>
        <w:spacing w:after="120" w:before="300"/>
      </w:pPr>
      <w:r>
        <w:rPr>
          <w:rFonts w:ascii="Arial" w:cs="Arial" w:eastAsia="Arial" w:hAnsi="Arial"/>
          <w:b/>
          <w:bCs/>
          <w:color w:val="2E6DA4"/>
          <w:sz w:val="24"/>
          <w:szCs w:val="24"/>
        </w:rPr>
        <w:t xml:space="preserve">4.1  Module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260"/>
        <w:gridCol w:w="4200"/>
      </w:tblGrid>
      <w:tr>
        <w:tc>
          <w:tcPr>
            <w:tcW w:type="dxa" w:w="900"/>
            <w:tcBorders>
              <w:top w:val="single" w:color="C9D4DF" w:sz="1"/>
              <w:left w:val="single" w:color="C9D4DF" w:sz="1"/>
              <w:bottom w:val="single" w:color="C9D4DF" w:sz="1"/>
              <w:right w:val="single" w:color="C9D4DF"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3000"/>
            <w:tcBorders>
              <w:top w:val="single" w:color="C9D4DF" w:sz="1"/>
              <w:left w:val="single" w:color="C9D4DF" w:sz="1"/>
              <w:bottom w:val="single" w:color="C9D4DF" w:sz="1"/>
              <w:right w:val="single" w:color="C9D4DF"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 Name</w:t>
            </w:r>
          </w:p>
        </w:tc>
        <w:tc>
          <w:tcPr>
            <w:tcW w:type="dxa" w:w="1260"/>
            <w:tcBorders>
              <w:top w:val="single" w:color="C9D4DF" w:sz="1"/>
              <w:left w:val="single" w:color="C9D4DF" w:sz="1"/>
              <w:bottom w:val="single" w:color="C9D4DF" w:sz="1"/>
              <w:right w:val="single" w:color="C9D4DF"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Req. Refs</w:t>
            </w:r>
          </w:p>
        </w:tc>
        <w:tc>
          <w:tcPr>
            <w:tcW w:type="dxa" w:w="4200"/>
            <w:tcBorders>
              <w:top w:val="single" w:color="C9D4DF" w:sz="1"/>
              <w:left w:val="single" w:color="C9D4DF" w:sz="1"/>
              <w:bottom w:val="single" w:color="C9D4DF" w:sz="1"/>
              <w:right w:val="single" w:color="C9D4DF"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 Summary</w:t>
            </w:r>
          </w:p>
        </w:tc>
      </w:tr>
      <w:tr>
        <w:tc>
          <w:tcPr>
            <w:tcW w:type="dxa" w:w="9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CM-01</w:t>
            </w:r>
          </w:p>
        </w:tc>
        <w:tc>
          <w:tcPr>
            <w:tcW w:type="dxa" w:w="30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Data Integration &amp; Aggregation Engine</w:t>
            </w:r>
          </w:p>
        </w:tc>
        <w:tc>
          <w:tcPr>
            <w:tcW w:type="dxa" w:w="12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FR-01</w:t>
            </w:r>
          </w:p>
        </w:tc>
        <w:tc>
          <w:tcPr>
            <w:tcW w:type="dxa" w:w="42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Manages all inbound data connections to client enterprise systems. Provides configurable ETL pipelines, schema mapping, data quality validation, and Delta Lake landing zone management. Supports real-time, batch, and API-based ingestion patterns.</w:t>
            </w:r>
          </w:p>
        </w:tc>
      </w:tr>
      <w:tr>
        <w:tc>
          <w:tcPr>
            <w:tcW w:type="dxa" w:w="9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CM-02</w:t>
            </w:r>
          </w:p>
        </w:tc>
        <w:tc>
          <w:tcPr>
            <w:tcW w:type="dxa" w:w="30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Performance Baseline &amp; Benchmarking Module</w:t>
            </w:r>
          </w:p>
        </w:tc>
        <w:tc>
          <w:tcPr>
            <w:tcW w:type="dxa" w:w="126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FR-02, FR-04</w:t>
            </w:r>
          </w:p>
        </w:tc>
        <w:tc>
          <w:tcPr>
            <w:tcW w:type="dxa" w:w="42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Computes client supply chain performance baselines across five dimensions: cost, service, inventory, quality, and resilience. Maps baseline KPIs to Gartner Peer Group and Hackett Group best-in-class benchmarks with statistical significance testing.</w:t>
            </w:r>
          </w:p>
        </w:tc>
      </w:tr>
      <w:tr>
        <w:tc>
          <w:tcPr>
            <w:tcW w:type="dxa" w:w="9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CM-03</w:t>
            </w:r>
          </w:p>
        </w:tc>
        <w:tc>
          <w:tcPr>
            <w:tcW w:type="dxa" w:w="30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Dashboard &amp; Visualization Engine</w:t>
            </w:r>
          </w:p>
        </w:tc>
        <w:tc>
          <w:tcPr>
            <w:tcW w:type="dxa" w:w="12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FR-03, FR-15</w:t>
            </w:r>
          </w:p>
        </w:tc>
        <w:tc>
          <w:tcPr>
            <w:tcW w:type="dxa" w:w="42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Generates executive-grade supply chain visibility dashboards and board-level presentations. Supports Tableau, Power BI, and Looker Studio as rendering targets. Produces static PDF exports for client delivery.</w:t>
            </w:r>
          </w:p>
        </w:tc>
      </w:tr>
      <w:tr>
        <w:tc>
          <w:tcPr>
            <w:tcW w:type="dxa" w:w="9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CM-04</w:t>
            </w:r>
          </w:p>
        </w:tc>
        <w:tc>
          <w:tcPr>
            <w:tcW w:type="dxa" w:w="30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Cost Analytics Module</w:t>
            </w:r>
          </w:p>
        </w:tc>
        <w:tc>
          <w:tcPr>
            <w:tcW w:type="dxa" w:w="126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FR-05, FR-08</w:t>
            </w:r>
          </w:p>
        </w:tc>
        <w:tc>
          <w:tcPr>
            <w:tcW w:type="dxa" w:w="42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Performs multi-dimensional cost-to-serve analysis decomposing landed cost by customer segment, distribution channel, and product hierarchy. Maintains financial impact models for all recommendations with NPV, IRR, and payback period calculations.</w:t>
            </w:r>
          </w:p>
        </w:tc>
      </w:tr>
      <w:tr>
        <w:tc>
          <w:tcPr>
            <w:tcW w:type="dxa" w:w="9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CM-05</w:t>
            </w:r>
          </w:p>
        </w:tc>
        <w:tc>
          <w:tcPr>
            <w:tcW w:type="dxa" w:w="30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Diagnostics &amp; Root Cause Analysis Engine</w:t>
            </w:r>
          </w:p>
        </w:tc>
        <w:tc>
          <w:tcPr>
            <w:tcW w:type="dxa" w:w="12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FR-06</w:t>
            </w:r>
          </w:p>
        </w:tc>
        <w:tc>
          <w:tcPr>
            <w:tcW w:type="dxa" w:w="42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Applies statistical data mining, anomaly detection, and causal inference techniques to identify root causes of supply chain performance gaps. Uses Python scikit-learn pipelines with automated feature importance ranking and explainability reporting.</w:t>
            </w:r>
          </w:p>
        </w:tc>
      </w:tr>
      <w:tr>
        <w:tc>
          <w:tcPr>
            <w:tcW w:type="dxa" w:w="9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CM-06</w:t>
            </w:r>
          </w:p>
        </w:tc>
        <w:tc>
          <w:tcPr>
            <w:tcW w:type="dxa" w:w="30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Predictive Analytics Module</w:t>
            </w:r>
          </w:p>
        </w:tc>
        <w:tc>
          <w:tcPr>
            <w:tcW w:type="dxa" w:w="126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FR-14</w:t>
            </w:r>
          </w:p>
        </w:tc>
        <w:tc>
          <w:tcPr>
            <w:tcW w:type="dxa" w:w="42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Builds and maintains machine learning models for demand signal forecasting, supply risk probability scoring, capacity constraint prediction, and cost trend forecasting. Models are versioned in MLflow and retrained on a configurable schedule.</w:t>
            </w:r>
          </w:p>
        </w:tc>
      </w:tr>
      <w:tr>
        <w:tc>
          <w:tcPr>
            <w:tcW w:type="dxa" w:w="9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CM-07</w:t>
            </w:r>
          </w:p>
        </w:tc>
        <w:tc>
          <w:tcPr>
            <w:tcW w:type="dxa" w:w="30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Market Intelligence &amp; Monitoring Module</w:t>
            </w:r>
          </w:p>
        </w:tc>
        <w:tc>
          <w:tcPr>
            <w:tcW w:type="dxa" w:w="12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FR-09, FR-13, FR-17</w:t>
            </w:r>
          </w:p>
        </w:tc>
        <w:tc>
          <w:tcPr>
            <w:tcW w:type="dxa" w:w="42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Continuously ingests and processes supply chain market intelligence from commodity price feeds, carrier rate indices, labor market data, regulatory sources, and competitive intelligence channels. Generates structured intelligence digests and disruption alerts.</w:t>
            </w:r>
          </w:p>
        </w:tc>
      </w:tr>
      <w:tr>
        <w:tc>
          <w:tcPr>
            <w:tcW w:type="dxa" w:w="9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CM-08</w:t>
            </w:r>
          </w:p>
        </w:tc>
        <w:tc>
          <w:tcPr>
            <w:tcW w:type="dxa" w:w="30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Engagement Reporting Module</w:t>
            </w:r>
          </w:p>
        </w:tc>
        <w:tc>
          <w:tcPr>
            <w:tcW w:type="dxa" w:w="126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FR-07, FR-10, FR-12</w:t>
            </w:r>
          </w:p>
        </w:tc>
        <w:tc>
          <w:tcPr>
            <w:tcW w:type="dxa" w:w="42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Automates production of all engagement-cycle deliverables: weekly status reports, milestone tracking, KPI dashboards, deliverable exhibit packages, and post-implementation benefit tracking reports.</w:t>
            </w:r>
          </w:p>
        </w:tc>
      </w:tr>
      <w:tr>
        <w:tc>
          <w:tcPr>
            <w:tcW w:type="dxa" w:w="9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CM-09</w:t>
            </w:r>
          </w:p>
        </w:tc>
        <w:tc>
          <w:tcPr>
            <w:tcW w:type="dxa" w:w="30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Maturity Assessment Module</w:t>
            </w:r>
          </w:p>
        </w:tc>
        <w:tc>
          <w:tcPr>
            <w:tcW w:type="dxa" w:w="12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FR-11</w:t>
            </w:r>
          </w:p>
        </w:tc>
        <w:tc>
          <w:tcPr>
            <w:tcW w:type="dxa" w:w="42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Administers supply chain capability maturity assessments across defined domains (Planning, Procurement, Manufacturing, Logistics, Technology, Risk). Generates scored maturity scorecards with gap-to-best-practice analysis and prioritized improvement roadmaps.</w:t>
            </w:r>
          </w:p>
        </w:tc>
      </w:tr>
      <w:tr>
        <w:tc>
          <w:tcPr>
            <w:tcW w:type="dxa" w:w="9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CM-10</w:t>
            </w:r>
          </w:p>
        </w:tc>
        <w:tc>
          <w:tcPr>
            <w:tcW w:type="dxa" w:w="30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Firm Knowledge Base &amp; Win/Loss Analytics</w:t>
            </w:r>
          </w:p>
        </w:tc>
        <w:tc>
          <w:tcPr>
            <w:tcW w:type="dxa" w:w="126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FR-16, FR-18</w:t>
            </w:r>
          </w:p>
        </w:tc>
        <w:tc>
          <w:tcPr>
            <w:tcW w:type="dxa" w:w="42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Maintains the firm's persistent supply chain knowledge repository including all client data (anonymized post-engagement), benchmark libraries, analytical model artifacts, methodology documentation, and proposal win/loss data.</w:t>
            </w:r>
          </w:p>
        </w:tc>
      </w:tr>
    </w:tbl>
    <w:p>
      <w:pPr>
        <w:spacing w:after="0" w:before="0"/>
      </w:pPr>
      <w:r>
        <w:rPr>
          <w:sz w:val="16"/>
          <w:szCs w:val="16"/>
        </w:rPr>
        <w:t xml:space="preserve"/>
      </w:r>
    </w:p>
    <w:p>
      <w:pPr>
        <w:pStyle w:val="Heading2"/>
        <w:spacing w:after="120" w:before="300"/>
      </w:pPr>
      <w:r>
        <w:rPr>
          <w:rFonts w:ascii="Arial" w:cs="Arial" w:eastAsia="Arial" w:hAnsi="Arial"/>
          <w:b/>
          <w:bCs/>
          <w:color w:val="2E6DA4"/>
          <w:sz w:val="24"/>
          <w:szCs w:val="24"/>
        </w:rPr>
        <w:t xml:space="preserve">4.2  Module Detail Specifications</w:t>
      </w:r>
    </w:p>
    <w:p>
      <w:pPr>
        <w:spacing w:after="0" w:before="0"/>
      </w:pPr>
      <w:r>
        <w:rPr>
          <w:sz w:val="8"/>
          <w:szCs w:val="8"/>
        </w:rPr>
        <w:t xml:space="preserve"/>
      </w:r>
    </w:p>
    <w:p>
      <w:pPr>
        <w:pStyle w:val="Heading3"/>
        <w:spacing w:after="80" w:before="240"/>
      </w:pPr>
      <w:r>
        <w:rPr>
          <w:rFonts w:ascii="Arial" w:cs="Arial" w:eastAsia="Arial" w:hAnsi="Arial"/>
          <w:b/>
          <w:bCs/>
          <w:color w:val="1B3A5C"/>
          <w:sz w:val="22"/>
          <w:szCs w:val="22"/>
        </w:rPr>
        <w:t xml:space="preserve">CM-01 — Data Integration &amp; Aggregation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9D4DF" w:sz="1"/>
              <w:left w:val="single" w:color="C9D4DF" w:sz="1"/>
              <w:bottom w:val="single" w:color="C9D4DF" w:sz="1"/>
              <w:right w:val="single" w:color="C9D4DF"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Attribute</w:t>
            </w:r>
          </w:p>
        </w:tc>
        <w:tc>
          <w:tcPr>
            <w:tcW w:type="dxa" w:w="7360"/>
            <w:tcBorders>
              <w:top w:val="single" w:color="C9D4DF" w:sz="1"/>
              <w:left w:val="single" w:color="C9D4DF" w:sz="1"/>
              <w:bottom w:val="single" w:color="C9D4DF" w:sz="1"/>
              <w:right w:val="single" w:color="C9D4DF"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w:t>
            </w:r>
          </w:p>
        </w:tc>
      </w:tr>
      <w:tr>
        <w:tc>
          <w:tcPr>
            <w:tcW w:type="dxa" w:w="20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Requirement Refs</w:t>
            </w:r>
          </w:p>
        </w:tc>
        <w:tc>
          <w:tcPr>
            <w:tcW w:type="dxa" w:w="73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FR-01</w:t>
            </w:r>
          </w:p>
        </w:tc>
      </w:tr>
      <w:tr>
        <w:tc>
          <w:tcPr>
            <w:tcW w:type="dxa" w:w="20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Description</w:t>
            </w:r>
          </w:p>
        </w:tc>
        <w:tc>
          <w:tcPr>
            <w:tcW w:type="dxa" w:w="736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Manages all inbound data connections to client enterprise systems. Provides configurable ETL pipelines, schema mapping, data quality validation, and Delta Lake landing zone management. Supports real-time, batch, and API-based ingestion patterns.</w:t>
            </w:r>
          </w:p>
        </w:tc>
      </w:tr>
      <w:tr>
        <w:tc>
          <w:tcPr>
            <w:tcW w:type="dxa" w:w="20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Primary Inputs</w:t>
            </w:r>
          </w:p>
        </w:tc>
        <w:tc>
          <w:tcPr>
            <w:tcW w:type="dxa" w:w="73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ERP (SAP, Oracle), WMS, TMS, planning systems, procurement platforms</w:t>
            </w:r>
          </w:p>
        </w:tc>
      </w:tr>
      <w:tr>
        <w:tc>
          <w:tcPr>
            <w:tcW w:type="dxa" w:w="20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Primary Outputs</w:t>
            </w:r>
          </w:p>
        </w:tc>
        <w:tc>
          <w:tcPr>
            <w:tcW w:type="dxa" w:w="736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Unified supply chain data model in Delta Lake; data quality scorecards</w:t>
            </w:r>
          </w:p>
        </w:tc>
      </w:tr>
      <w:tr>
        <w:tc>
          <w:tcPr>
            <w:tcW w:type="dxa" w:w="20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Success KPIs</w:t>
            </w:r>
          </w:p>
        </w:tc>
        <w:tc>
          <w:tcPr>
            <w:tcW w:type="dxa" w:w="73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Data freshness SLA, ingestion error rate &lt; 0.1%, schema coverage %</w:t>
            </w:r>
          </w:p>
        </w:tc>
      </w:tr>
    </w:tbl>
    <w:p>
      <w:pPr>
        <w:spacing w:after="0" w:before="0"/>
      </w:pPr>
      <w:r>
        <w:rPr>
          <w:sz w:val="24"/>
          <w:szCs w:val="24"/>
        </w:rPr>
        <w:t xml:space="preserve"/>
      </w:r>
    </w:p>
    <w:p>
      <w:pPr>
        <w:pStyle w:val="Heading3"/>
        <w:spacing w:after="80" w:before="240"/>
      </w:pPr>
      <w:r>
        <w:rPr>
          <w:rFonts w:ascii="Arial" w:cs="Arial" w:eastAsia="Arial" w:hAnsi="Arial"/>
          <w:b/>
          <w:bCs/>
          <w:color w:val="1B3A5C"/>
          <w:sz w:val="22"/>
          <w:szCs w:val="22"/>
        </w:rPr>
        <w:t xml:space="preserve">CM-02 — Performance Baseline &amp; Benchmarking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9D4DF" w:sz="1"/>
              <w:left w:val="single" w:color="C9D4DF" w:sz="1"/>
              <w:bottom w:val="single" w:color="C9D4DF" w:sz="1"/>
              <w:right w:val="single" w:color="C9D4DF"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Attribute</w:t>
            </w:r>
          </w:p>
        </w:tc>
        <w:tc>
          <w:tcPr>
            <w:tcW w:type="dxa" w:w="7360"/>
            <w:tcBorders>
              <w:top w:val="single" w:color="C9D4DF" w:sz="1"/>
              <w:left w:val="single" w:color="C9D4DF" w:sz="1"/>
              <w:bottom w:val="single" w:color="C9D4DF" w:sz="1"/>
              <w:right w:val="single" w:color="C9D4DF"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w:t>
            </w:r>
          </w:p>
        </w:tc>
      </w:tr>
      <w:tr>
        <w:tc>
          <w:tcPr>
            <w:tcW w:type="dxa" w:w="20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Requirement Refs</w:t>
            </w:r>
          </w:p>
        </w:tc>
        <w:tc>
          <w:tcPr>
            <w:tcW w:type="dxa" w:w="73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FR-02, FR-04</w:t>
            </w:r>
          </w:p>
        </w:tc>
      </w:tr>
      <w:tr>
        <w:tc>
          <w:tcPr>
            <w:tcW w:type="dxa" w:w="20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Description</w:t>
            </w:r>
          </w:p>
        </w:tc>
        <w:tc>
          <w:tcPr>
            <w:tcW w:type="dxa" w:w="736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Computes client supply chain performance baselines across five dimensions: cost, service, inventory, quality, and resilience. Maps baseline KPIs to Gartner Peer Group and Hackett Group best-in-class benchmarks with statistical significance testing.</w:t>
            </w:r>
          </w:p>
        </w:tc>
      </w:tr>
      <w:tr>
        <w:tc>
          <w:tcPr>
            <w:tcW w:type="dxa" w:w="20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Primary Inputs</w:t>
            </w:r>
          </w:p>
        </w:tc>
        <w:tc>
          <w:tcPr>
            <w:tcW w:type="dxa" w:w="73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Unified supply chain data model, Gartner/Hackett benchmark libraries, firm proprietary benchmarks</w:t>
            </w:r>
          </w:p>
        </w:tc>
      </w:tr>
      <w:tr>
        <w:tc>
          <w:tcPr>
            <w:tcW w:type="dxa" w:w="20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Primary Outputs</w:t>
            </w:r>
          </w:p>
        </w:tc>
        <w:tc>
          <w:tcPr>
            <w:tcW w:type="dxa" w:w="736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KPI baseline report, benchmark gap analysis, peer positioning matrix</w:t>
            </w:r>
          </w:p>
        </w:tc>
      </w:tr>
      <w:tr>
        <w:tc>
          <w:tcPr>
            <w:tcW w:type="dxa" w:w="20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Success KPIs</w:t>
            </w:r>
          </w:p>
        </w:tc>
        <w:tc>
          <w:tcPr>
            <w:tcW w:type="dxa" w:w="73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Benchmark coverage %, baseline completeness %, gap quantification accuracy</w:t>
            </w:r>
          </w:p>
        </w:tc>
      </w:tr>
    </w:tbl>
    <w:p>
      <w:pPr>
        <w:spacing w:after="0" w:before="0"/>
      </w:pPr>
      <w:r>
        <w:rPr>
          <w:sz w:val="24"/>
          <w:szCs w:val="24"/>
        </w:rPr>
        <w:t xml:space="preserve"/>
      </w:r>
    </w:p>
    <w:p>
      <w:pPr>
        <w:pStyle w:val="Heading3"/>
        <w:spacing w:after="80" w:before="240"/>
      </w:pPr>
      <w:r>
        <w:rPr>
          <w:rFonts w:ascii="Arial" w:cs="Arial" w:eastAsia="Arial" w:hAnsi="Arial"/>
          <w:b/>
          <w:bCs/>
          <w:color w:val="1B3A5C"/>
          <w:sz w:val="22"/>
          <w:szCs w:val="22"/>
        </w:rPr>
        <w:t xml:space="preserve">CM-03 — Dashboard &amp; Visualization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9D4DF" w:sz="1"/>
              <w:left w:val="single" w:color="C9D4DF" w:sz="1"/>
              <w:bottom w:val="single" w:color="C9D4DF" w:sz="1"/>
              <w:right w:val="single" w:color="C9D4DF"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Attribute</w:t>
            </w:r>
          </w:p>
        </w:tc>
        <w:tc>
          <w:tcPr>
            <w:tcW w:type="dxa" w:w="7360"/>
            <w:tcBorders>
              <w:top w:val="single" w:color="C9D4DF" w:sz="1"/>
              <w:left w:val="single" w:color="C9D4DF" w:sz="1"/>
              <w:bottom w:val="single" w:color="C9D4DF" w:sz="1"/>
              <w:right w:val="single" w:color="C9D4DF"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w:t>
            </w:r>
          </w:p>
        </w:tc>
      </w:tr>
      <w:tr>
        <w:tc>
          <w:tcPr>
            <w:tcW w:type="dxa" w:w="20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Requirement Refs</w:t>
            </w:r>
          </w:p>
        </w:tc>
        <w:tc>
          <w:tcPr>
            <w:tcW w:type="dxa" w:w="73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FR-03, FR-15</w:t>
            </w:r>
          </w:p>
        </w:tc>
      </w:tr>
      <w:tr>
        <w:tc>
          <w:tcPr>
            <w:tcW w:type="dxa" w:w="20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Description</w:t>
            </w:r>
          </w:p>
        </w:tc>
        <w:tc>
          <w:tcPr>
            <w:tcW w:type="dxa" w:w="736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Generates executive-grade supply chain visibility dashboards and board-level presentations. Supports Tableau, Power BI, and Looker Studio as rendering targets. Produces static PDF exports for client delivery.</w:t>
            </w:r>
          </w:p>
        </w:tc>
      </w:tr>
      <w:tr>
        <w:tc>
          <w:tcPr>
            <w:tcW w:type="dxa" w:w="20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Primary Inputs</w:t>
            </w:r>
          </w:p>
        </w:tc>
        <w:tc>
          <w:tcPr>
            <w:tcW w:type="dxa" w:w="73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Performance baseline data, benchmark comparisons, KPI time series</w:t>
            </w:r>
          </w:p>
        </w:tc>
      </w:tr>
      <w:tr>
        <w:tc>
          <w:tcPr>
            <w:tcW w:type="dxa" w:w="20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Primary Outputs</w:t>
            </w:r>
          </w:p>
        </w:tc>
        <w:tc>
          <w:tcPr>
            <w:tcW w:type="dxa" w:w="736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Interactive dashboards, executive presentation decks, PDF exhibit packages</w:t>
            </w:r>
          </w:p>
        </w:tc>
      </w:tr>
      <w:tr>
        <w:tc>
          <w:tcPr>
            <w:tcW w:type="dxa" w:w="20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Success KPIs</w:t>
            </w:r>
          </w:p>
        </w:tc>
        <w:tc>
          <w:tcPr>
            <w:tcW w:type="dxa" w:w="73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Rendering time &lt; 30s, dashboard refresh latency, presentation accuracy</w:t>
            </w:r>
          </w:p>
        </w:tc>
      </w:tr>
    </w:tbl>
    <w:p>
      <w:pPr>
        <w:spacing w:after="0" w:before="0"/>
      </w:pPr>
      <w:r>
        <w:rPr>
          <w:sz w:val="24"/>
          <w:szCs w:val="24"/>
        </w:rPr>
        <w:t xml:space="preserve"/>
      </w:r>
    </w:p>
    <w:p>
      <w:pPr>
        <w:pStyle w:val="Heading3"/>
        <w:spacing w:after="80" w:before="240"/>
      </w:pPr>
      <w:r>
        <w:rPr>
          <w:rFonts w:ascii="Arial" w:cs="Arial" w:eastAsia="Arial" w:hAnsi="Arial"/>
          <w:b/>
          <w:bCs/>
          <w:color w:val="1B3A5C"/>
          <w:sz w:val="22"/>
          <w:szCs w:val="22"/>
        </w:rPr>
        <w:t xml:space="preserve">CM-04 — Cost Analytics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9D4DF" w:sz="1"/>
              <w:left w:val="single" w:color="C9D4DF" w:sz="1"/>
              <w:bottom w:val="single" w:color="C9D4DF" w:sz="1"/>
              <w:right w:val="single" w:color="C9D4DF"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Attribute</w:t>
            </w:r>
          </w:p>
        </w:tc>
        <w:tc>
          <w:tcPr>
            <w:tcW w:type="dxa" w:w="7360"/>
            <w:tcBorders>
              <w:top w:val="single" w:color="C9D4DF" w:sz="1"/>
              <w:left w:val="single" w:color="C9D4DF" w:sz="1"/>
              <w:bottom w:val="single" w:color="C9D4DF" w:sz="1"/>
              <w:right w:val="single" w:color="C9D4DF"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w:t>
            </w:r>
          </w:p>
        </w:tc>
      </w:tr>
      <w:tr>
        <w:tc>
          <w:tcPr>
            <w:tcW w:type="dxa" w:w="20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Requirement Refs</w:t>
            </w:r>
          </w:p>
        </w:tc>
        <w:tc>
          <w:tcPr>
            <w:tcW w:type="dxa" w:w="73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FR-05, FR-08</w:t>
            </w:r>
          </w:p>
        </w:tc>
      </w:tr>
      <w:tr>
        <w:tc>
          <w:tcPr>
            <w:tcW w:type="dxa" w:w="20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Description</w:t>
            </w:r>
          </w:p>
        </w:tc>
        <w:tc>
          <w:tcPr>
            <w:tcW w:type="dxa" w:w="736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Performs multi-dimensional cost-to-serve analysis decomposing landed cost by customer segment, distribution channel, and product hierarchy. Maintains financial impact models for all recommendations with NPV, IRR, and payback period calculations.</w:t>
            </w:r>
          </w:p>
        </w:tc>
      </w:tr>
      <w:tr>
        <w:tc>
          <w:tcPr>
            <w:tcW w:type="dxa" w:w="20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Primary Inputs</w:t>
            </w:r>
          </w:p>
        </w:tc>
        <w:tc>
          <w:tcPr>
            <w:tcW w:type="dxa" w:w="73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Order management data, logistics cost data, pricing files, financial transaction data</w:t>
            </w:r>
          </w:p>
        </w:tc>
      </w:tr>
      <w:tr>
        <w:tc>
          <w:tcPr>
            <w:tcW w:type="dxa" w:w="20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Primary Outputs</w:t>
            </w:r>
          </w:p>
        </w:tc>
        <w:tc>
          <w:tcPr>
            <w:tcW w:type="dxa" w:w="736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Cost-to-serve matrix, financial impact models, savings quantification exhibits</w:t>
            </w:r>
          </w:p>
        </w:tc>
      </w:tr>
      <w:tr>
        <w:tc>
          <w:tcPr>
            <w:tcW w:type="dxa" w:w="20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Success KPIs</w:t>
            </w:r>
          </w:p>
        </w:tc>
        <w:tc>
          <w:tcPr>
            <w:tcW w:type="dxa" w:w="73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Cost allocation completeness, model accuracy vs. actuals, financial model coverage</w:t>
            </w:r>
          </w:p>
        </w:tc>
      </w:tr>
    </w:tbl>
    <w:p>
      <w:pPr>
        <w:spacing w:after="0" w:before="0"/>
      </w:pPr>
      <w:r>
        <w:rPr>
          <w:sz w:val="24"/>
          <w:szCs w:val="24"/>
        </w:rPr>
        <w:t xml:space="preserve"/>
      </w:r>
    </w:p>
    <w:p>
      <w:pPr>
        <w:pStyle w:val="Heading3"/>
        <w:spacing w:after="80" w:before="240"/>
      </w:pPr>
      <w:r>
        <w:rPr>
          <w:rFonts w:ascii="Arial" w:cs="Arial" w:eastAsia="Arial" w:hAnsi="Arial"/>
          <w:b/>
          <w:bCs/>
          <w:color w:val="1B3A5C"/>
          <w:sz w:val="22"/>
          <w:szCs w:val="22"/>
        </w:rPr>
        <w:t xml:space="preserve">CM-05 — Diagnostics &amp; Root Cause Analysis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9D4DF" w:sz="1"/>
              <w:left w:val="single" w:color="C9D4DF" w:sz="1"/>
              <w:bottom w:val="single" w:color="C9D4DF" w:sz="1"/>
              <w:right w:val="single" w:color="C9D4DF"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Attribute</w:t>
            </w:r>
          </w:p>
        </w:tc>
        <w:tc>
          <w:tcPr>
            <w:tcW w:type="dxa" w:w="7360"/>
            <w:tcBorders>
              <w:top w:val="single" w:color="C9D4DF" w:sz="1"/>
              <w:left w:val="single" w:color="C9D4DF" w:sz="1"/>
              <w:bottom w:val="single" w:color="C9D4DF" w:sz="1"/>
              <w:right w:val="single" w:color="C9D4DF"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w:t>
            </w:r>
          </w:p>
        </w:tc>
      </w:tr>
      <w:tr>
        <w:tc>
          <w:tcPr>
            <w:tcW w:type="dxa" w:w="20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Requirement Refs</w:t>
            </w:r>
          </w:p>
        </w:tc>
        <w:tc>
          <w:tcPr>
            <w:tcW w:type="dxa" w:w="73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FR-06</w:t>
            </w:r>
          </w:p>
        </w:tc>
      </w:tr>
      <w:tr>
        <w:tc>
          <w:tcPr>
            <w:tcW w:type="dxa" w:w="20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Description</w:t>
            </w:r>
          </w:p>
        </w:tc>
        <w:tc>
          <w:tcPr>
            <w:tcW w:type="dxa" w:w="736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Applies statistical data mining, anomaly detection, and causal inference techniques to identify root causes of supply chain performance gaps. Uses Python scikit-learn pipelines with automated feature importance ranking and explainability reporting.</w:t>
            </w:r>
          </w:p>
        </w:tc>
      </w:tr>
      <w:tr>
        <w:tc>
          <w:tcPr>
            <w:tcW w:type="dxa" w:w="20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Primary Inputs</w:t>
            </w:r>
          </w:p>
        </w:tc>
        <w:tc>
          <w:tcPr>
            <w:tcW w:type="dxa" w:w="73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Performance anomaly signals, historical time series, operational data</w:t>
            </w:r>
          </w:p>
        </w:tc>
      </w:tr>
      <w:tr>
        <w:tc>
          <w:tcPr>
            <w:tcW w:type="dxa" w:w="20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Primary Outputs</w:t>
            </w:r>
          </w:p>
        </w:tc>
        <w:tc>
          <w:tcPr>
            <w:tcW w:type="dxa" w:w="736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Root cause analysis reports, ranked causal factor exhibits, hypothesis test results</w:t>
            </w:r>
          </w:p>
        </w:tc>
      </w:tr>
      <w:tr>
        <w:tc>
          <w:tcPr>
            <w:tcW w:type="dxa" w:w="20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Success KPIs</w:t>
            </w:r>
          </w:p>
        </w:tc>
        <w:tc>
          <w:tcPr>
            <w:tcW w:type="dxa" w:w="73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Root cause identification precision, false positive rate &lt; 5%, time-to-insight</w:t>
            </w:r>
          </w:p>
        </w:tc>
      </w:tr>
    </w:tbl>
    <w:p>
      <w:pPr>
        <w:spacing w:after="0" w:before="0"/>
      </w:pPr>
      <w:r>
        <w:rPr>
          <w:sz w:val="24"/>
          <w:szCs w:val="24"/>
        </w:rPr>
        <w:t xml:space="preserve"/>
      </w:r>
    </w:p>
    <w:p>
      <w:pPr>
        <w:pStyle w:val="Heading3"/>
        <w:spacing w:after="80" w:before="240"/>
      </w:pPr>
      <w:r>
        <w:rPr>
          <w:rFonts w:ascii="Arial" w:cs="Arial" w:eastAsia="Arial" w:hAnsi="Arial"/>
          <w:b/>
          <w:bCs/>
          <w:color w:val="1B3A5C"/>
          <w:sz w:val="22"/>
          <w:szCs w:val="22"/>
        </w:rPr>
        <w:t xml:space="preserve">CM-06 — Predictive Analytics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9D4DF" w:sz="1"/>
              <w:left w:val="single" w:color="C9D4DF" w:sz="1"/>
              <w:bottom w:val="single" w:color="C9D4DF" w:sz="1"/>
              <w:right w:val="single" w:color="C9D4DF"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Attribute</w:t>
            </w:r>
          </w:p>
        </w:tc>
        <w:tc>
          <w:tcPr>
            <w:tcW w:type="dxa" w:w="7360"/>
            <w:tcBorders>
              <w:top w:val="single" w:color="C9D4DF" w:sz="1"/>
              <w:left w:val="single" w:color="C9D4DF" w:sz="1"/>
              <w:bottom w:val="single" w:color="C9D4DF" w:sz="1"/>
              <w:right w:val="single" w:color="C9D4DF"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w:t>
            </w:r>
          </w:p>
        </w:tc>
      </w:tr>
      <w:tr>
        <w:tc>
          <w:tcPr>
            <w:tcW w:type="dxa" w:w="20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Requirement Refs</w:t>
            </w:r>
          </w:p>
        </w:tc>
        <w:tc>
          <w:tcPr>
            <w:tcW w:type="dxa" w:w="73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FR-14</w:t>
            </w:r>
          </w:p>
        </w:tc>
      </w:tr>
      <w:tr>
        <w:tc>
          <w:tcPr>
            <w:tcW w:type="dxa" w:w="20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Description</w:t>
            </w:r>
          </w:p>
        </w:tc>
        <w:tc>
          <w:tcPr>
            <w:tcW w:type="dxa" w:w="736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Builds and maintains machine learning models for demand signal forecasting, supply risk probability scoring, capacity constraint prediction, and cost trend forecasting. Models are versioned in MLflow and retrained on a configurable schedule.</w:t>
            </w:r>
          </w:p>
        </w:tc>
      </w:tr>
      <w:tr>
        <w:tc>
          <w:tcPr>
            <w:tcW w:type="dxa" w:w="20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Primary Inputs</w:t>
            </w:r>
          </w:p>
        </w:tc>
        <w:tc>
          <w:tcPr>
            <w:tcW w:type="dxa" w:w="73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Historical supply chain data, market intelligence signals, external economic indicators</w:t>
            </w:r>
          </w:p>
        </w:tc>
      </w:tr>
      <w:tr>
        <w:tc>
          <w:tcPr>
            <w:tcW w:type="dxa" w:w="20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Primary Outputs</w:t>
            </w:r>
          </w:p>
        </w:tc>
        <w:tc>
          <w:tcPr>
            <w:tcW w:type="dxa" w:w="736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Demand forecast series, risk probability scores, capacity utilization forecasts, cost forecasts</w:t>
            </w:r>
          </w:p>
        </w:tc>
      </w:tr>
      <w:tr>
        <w:tc>
          <w:tcPr>
            <w:tcW w:type="dxa" w:w="20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Success KPIs</w:t>
            </w:r>
          </w:p>
        </w:tc>
        <w:tc>
          <w:tcPr>
            <w:tcW w:type="dxa" w:w="73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Forecast MAPE, risk model AUC, model staleness (days since last training)</w:t>
            </w:r>
          </w:p>
        </w:tc>
      </w:tr>
    </w:tbl>
    <w:p>
      <w:pPr>
        <w:spacing w:after="0" w:before="0"/>
      </w:pPr>
      <w:r>
        <w:rPr>
          <w:sz w:val="24"/>
          <w:szCs w:val="24"/>
        </w:rPr>
        <w:t xml:space="preserve"/>
      </w:r>
    </w:p>
    <w:p>
      <w:pPr>
        <w:pStyle w:val="Heading3"/>
        <w:spacing w:after="80" w:before="240"/>
      </w:pPr>
      <w:r>
        <w:rPr>
          <w:rFonts w:ascii="Arial" w:cs="Arial" w:eastAsia="Arial" w:hAnsi="Arial"/>
          <w:b/>
          <w:bCs/>
          <w:color w:val="1B3A5C"/>
          <w:sz w:val="22"/>
          <w:szCs w:val="22"/>
        </w:rPr>
        <w:t xml:space="preserve">CM-07 — Market Intelligence &amp; Monitoring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9D4DF" w:sz="1"/>
              <w:left w:val="single" w:color="C9D4DF" w:sz="1"/>
              <w:bottom w:val="single" w:color="C9D4DF" w:sz="1"/>
              <w:right w:val="single" w:color="C9D4DF"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Attribute</w:t>
            </w:r>
          </w:p>
        </w:tc>
        <w:tc>
          <w:tcPr>
            <w:tcW w:type="dxa" w:w="7360"/>
            <w:tcBorders>
              <w:top w:val="single" w:color="C9D4DF" w:sz="1"/>
              <w:left w:val="single" w:color="C9D4DF" w:sz="1"/>
              <w:bottom w:val="single" w:color="C9D4DF" w:sz="1"/>
              <w:right w:val="single" w:color="C9D4DF"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w:t>
            </w:r>
          </w:p>
        </w:tc>
      </w:tr>
      <w:tr>
        <w:tc>
          <w:tcPr>
            <w:tcW w:type="dxa" w:w="20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Requirement Refs</w:t>
            </w:r>
          </w:p>
        </w:tc>
        <w:tc>
          <w:tcPr>
            <w:tcW w:type="dxa" w:w="73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FR-09, FR-13, FR-17</w:t>
            </w:r>
          </w:p>
        </w:tc>
      </w:tr>
      <w:tr>
        <w:tc>
          <w:tcPr>
            <w:tcW w:type="dxa" w:w="20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Description</w:t>
            </w:r>
          </w:p>
        </w:tc>
        <w:tc>
          <w:tcPr>
            <w:tcW w:type="dxa" w:w="736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Continuously ingests and processes supply chain market intelligence from commodity price feeds, carrier rate indices, labor market data, regulatory sources, and competitive intelligence channels. Generates structured intelligence digests and disruption alerts.</w:t>
            </w:r>
          </w:p>
        </w:tc>
      </w:tr>
      <w:tr>
        <w:tc>
          <w:tcPr>
            <w:tcW w:type="dxa" w:w="20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Primary Inputs</w:t>
            </w:r>
          </w:p>
        </w:tc>
        <w:tc>
          <w:tcPr>
            <w:tcW w:type="dxa" w:w="73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External market data APIs, regulatory publication feeds, competitor filings</w:t>
            </w:r>
          </w:p>
        </w:tc>
      </w:tr>
      <w:tr>
        <w:tc>
          <w:tcPr>
            <w:tcW w:type="dxa" w:w="20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Primary Outputs</w:t>
            </w:r>
          </w:p>
        </w:tc>
        <w:tc>
          <w:tcPr>
            <w:tcW w:type="dxa" w:w="736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Weekly market intelligence digest, disruption alerts, competitive intelligence summaries, regulatory trend reports</w:t>
            </w:r>
          </w:p>
        </w:tc>
      </w:tr>
      <w:tr>
        <w:tc>
          <w:tcPr>
            <w:tcW w:type="dxa" w:w="20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Success KPIs</w:t>
            </w:r>
          </w:p>
        </w:tc>
        <w:tc>
          <w:tcPr>
            <w:tcW w:type="dxa" w:w="73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Signal detection latency, intelligence coverage breadth, alert false positive rate</w:t>
            </w:r>
          </w:p>
        </w:tc>
      </w:tr>
    </w:tbl>
    <w:p>
      <w:pPr>
        <w:spacing w:after="0" w:before="0"/>
      </w:pPr>
      <w:r>
        <w:rPr>
          <w:sz w:val="24"/>
          <w:szCs w:val="24"/>
        </w:rPr>
        <w:t xml:space="preserve"/>
      </w:r>
    </w:p>
    <w:p>
      <w:pPr>
        <w:pStyle w:val="Heading3"/>
        <w:spacing w:after="80" w:before="240"/>
      </w:pPr>
      <w:r>
        <w:rPr>
          <w:rFonts w:ascii="Arial" w:cs="Arial" w:eastAsia="Arial" w:hAnsi="Arial"/>
          <w:b/>
          <w:bCs/>
          <w:color w:val="1B3A5C"/>
          <w:sz w:val="22"/>
          <w:szCs w:val="22"/>
        </w:rPr>
        <w:t xml:space="preserve">CM-08 — Engagement Reporting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9D4DF" w:sz="1"/>
              <w:left w:val="single" w:color="C9D4DF" w:sz="1"/>
              <w:bottom w:val="single" w:color="C9D4DF" w:sz="1"/>
              <w:right w:val="single" w:color="C9D4DF"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Attribute</w:t>
            </w:r>
          </w:p>
        </w:tc>
        <w:tc>
          <w:tcPr>
            <w:tcW w:type="dxa" w:w="7360"/>
            <w:tcBorders>
              <w:top w:val="single" w:color="C9D4DF" w:sz="1"/>
              <w:left w:val="single" w:color="C9D4DF" w:sz="1"/>
              <w:bottom w:val="single" w:color="C9D4DF" w:sz="1"/>
              <w:right w:val="single" w:color="C9D4DF"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w:t>
            </w:r>
          </w:p>
        </w:tc>
      </w:tr>
      <w:tr>
        <w:tc>
          <w:tcPr>
            <w:tcW w:type="dxa" w:w="20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Requirement Refs</w:t>
            </w:r>
          </w:p>
        </w:tc>
        <w:tc>
          <w:tcPr>
            <w:tcW w:type="dxa" w:w="73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FR-07, FR-10, FR-12</w:t>
            </w:r>
          </w:p>
        </w:tc>
      </w:tr>
      <w:tr>
        <w:tc>
          <w:tcPr>
            <w:tcW w:type="dxa" w:w="20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Description</w:t>
            </w:r>
          </w:p>
        </w:tc>
        <w:tc>
          <w:tcPr>
            <w:tcW w:type="dxa" w:w="736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Automates production of all engagement-cycle deliverables: weekly status reports, milestone tracking, KPI dashboards, deliverable exhibit packages, and post-implementation benefit tracking reports.</w:t>
            </w:r>
          </w:p>
        </w:tc>
      </w:tr>
      <w:tr>
        <w:tc>
          <w:tcPr>
            <w:tcW w:type="dxa" w:w="20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Primary Inputs</w:t>
            </w:r>
          </w:p>
        </w:tc>
        <w:tc>
          <w:tcPr>
            <w:tcW w:type="dxa" w:w="73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Engagement plan, KPI targets, milestone schedule, realized results data</w:t>
            </w:r>
          </w:p>
        </w:tc>
      </w:tr>
      <w:tr>
        <w:tc>
          <w:tcPr>
            <w:tcW w:type="dxa" w:w="20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Primary Outputs</w:t>
            </w:r>
          </w:p>
        </w:tc>
        <w:tc>
          <w:tcPr>
            <w:tcW w:type="dxa" w:w="736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Weekly status reports, client deliverable packages, benefit realization reports</w:t>
            </w:r>
          </w:p>
        </w:tc>
      </w:tr>
      <w:tr>
        <w:tc>
          <w:tcPr>
            <w:tcW w:type="dxa" w:w="20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Success KPIs</w:t>
            </w:r>
          </w:p>
        </w:tc>
        <w:tc>
          <w:tcPr>
            <w:tcW w:type="dxa" w:w="73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Report generation time, on-time delivery rate, deliverable completeness</w:t>
            </w:r>
          </w:p>
        </w:tc>
      </w:tr>
    </w:tbl>
    <w:p>
      <w:pPr>
        <w:spacing w:after="0" w:before="0"/>
      </w:pPr>
      <w:r>
        <w:rPr>
          <w:sz w:val="24"/>
          <w:szCs w:val="24"/>
        </w:rPr>
        <w:t xml:space="preserve"/>
      </w:r>
    </w:p>
    <w:p>
      <w:pPr>
        <w:pStyle w:val="Heading3"/>
        <w:spacing w:after="80" w:before="240"/>
      </w:pPr>
      <w:r>
        <w:rPr>
          <w:rFonts w:ascii="Arial" w:cs="Arial" w:eastAsia="Arial" w:hAnsi="Arial"/>
          <w:b/>
          <w:bCs/>
          <w:color w:val="1B3A5C"/>
          <w:sz w:val="22"/>
          <w:szCs w:val="22"/>
        </w:rPr>
        <w:t xml:space="preserve">CM-09 — Maturity Assessment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9D4DF" w:sz="1"/>
              <w:left w:val="single" w:color="C9D4DF" w:sz="1"/>
              <w:bottom w:val="single" w:color="C9D4DF" w:sz="1"/>
              <w:right w:val="single" w:color="C9D4DF"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Attribute</w:t>
            </w:r>
          </w:p>
        </w:tc>
        <w:tc>
          <w:tcPr>
            <w:tcW w:type="dxa" w:w="7360"/>
            <w:tcBorders>
              <w:top w:val="single" w:color="C9D4DF" w:sz="1"/>
              <w:left w:val="single" w:color="C9D4DF" w:sz="1"/>
              <w:bottom w:val="single" w:color="C9D4DF" w:sz="1"/>
              <w:right w:val="single" w:color="C9D4DF"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w:t>
            </w:r>
          </w:p>
        </w:tc>
      </w:tr>
      <w:tr>
        <w:tc>
          <w:tcPr>
            <w:tcW w:type="dxa" w:w="20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Requirement Refs</w:t>
            </w:r>
          </w:p>
        </w:tc>
        <w:tc>
          <w:tcPr>
            <w:tcW w:type="dxa" w:w="73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FR-11</w:t>
            </w:r>
          </w:p>
        </w:tc>
      </w:tr>
      <w:tr>
        <w:tc>
          <w:tcPr>
            <w:tcW w:type="dxa" w:w="20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Description</w:t>
            </w:r>
          </w:p>
        </w:tc>
        <w:tc>
          <w:tcPr>
            <w:tcW w:type="dxa" w:w="736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Administers supply chain capability maturity assessments across defined domains (Planning, Procurement, Manufacturing, Logistics, Technology, Risk). Generates scored maturity scorecards with gap-to-best-practice analysis and prioritized improvement roadmaps.</w:t>
            </w:r>
          </w:p>
        </w:tc>
      </w:tr>
      <w:tr>
        <w:tc>
          <w:tcPr>
            <w:tcW w:type="dxa" w:w="20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Primary Inputs</w:t>
            </w:r>
          </w:p>
        </w:tc>
        <w:tc>
          <w:tcPr>
            <w:tcW w:type="dxa" w:w="73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Client assessment responses, process documentation, benchmark maturity scales</w:t>
            </w:r>
          </w:p>
        </w:tc>
      </w:tr>
      <w:tr>
        <w:tc>
          <w:tcPr>
            <w:tcW w:type="dxa" w:w="20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Primary Outputs</w:t>
            </w:r>
          </w:p>
        </w:tc>
        <w:tc>
          <w:tcPr>
            <w:tcW w:type="dxa" w:w="736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Maturity scorecard, capability gap report, improvement roadmap</w:t>
            </w:r>
          </w:p>
        </w:tc>
      </w:tr>
      <w:tr>
        <w:tc>
          <w:tcPr>
            <w:tcW w:type="dxa" w:w="20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Success KPIs</w:t>
            </w:r>
          </w:p>
        </w:tc>
        <w:tc>
          <w:tcPr>
            <w:tcW w:type="dxa" w:w="73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Assessment completion rate, scoring consistency, benchmark alignment</w:t>
            </w:r>
          </w:p>
        </w:tc>
      </w:tr>
    </w:tbl>
    <w:p>
      <w:pPr>
        <w:spacing w:after="0" w:before="0"/>
      </w:pPr>
      <w:r>
        <w:rPr>
          <w:sz w:val="24"/>
          <w:szCs w:val="24"/>
        </w:rPr>
        <w:t xml:space="preserve"/>
      </w:r>
    </w:p>
    <w:p>
      <w:pPr>
        <w:pStyle w:val="Heading3"/>
        <w:spacing w:after="80" w:before="240"/>
      </w:pPr>
      <w:r>
        <w:rPr>
          <w:rFonts w:ascii="Arial" w:cs="Arial" w:eastAsia="Arial" w:hAnsi="Arial"/>
          <w:b/>
          <w:bCs/>
          <w:color w:val="1B3A5C"/>
          <w:sz w:val="22"/>
          <w:szCs w:val="22"/>
        </w:rPr>
        <w:t xml:space="preserve">CM-10 — Firm Knowledge Base &amp; Win/Loss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9D4DF" w:sz="1"/>
              <w:left w:val="single" w:color="C9D4DF" w:sz="1"/>
              <w:bottom w:val="single" w:color="C9D4DF" w:sz="1"/>
              <w:right w:val="single" w:color="C9D4DF"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Attribute</w:t>
            </w:r>
          </w:p>
        </w:tc>
        <w:tc>
          <w:tcPr>
            <w:tcW w:type="dxa" w:w="7360"/>
            <w:tcBorders>
              <w:top w:val="single" w:color="C9D4DF" w:sz="1"/>
              <w:left w:val="single" w:color="C9D4DF" w:sz="1"/>
              <w:bottom w:val="single" w:color="C9D4DF" w:sz="1"/>
              <w:right w:val="single" w:color="C9D4DF"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w:t>
            </w:r>
          </w:p>
        </w:tc>
      </w:tr>
      <w:tr>
        <w:tc>
          <w:tcPr>
            <w:tcW w:type="dxa" w:w="20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Requirement Refs</w:t>
            </w:r>
          </w:p>
        </w:tc>
        <w:tc>
          <w:tcPr>
            <w:tcW w:type="dxa" w:w="73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FR-16, FR-18</w:t>
            </w:r>
          </w:p>
        </w:tc>
      </w:tr>
      <w:tr>
        <w:tc>
          <w:tcPr>
            <w:tcW w:type="dxa" w:w="20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Description</w:t>
            </w:r>
          </w:p>
        </w:tc>
        <w:tc>
          <w:tcPr>
            <w:tcW w:type="dxa" w:w="736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Maintains the firm's persistent supply chain knowledge repository including all client data (anonymized post-engagement), benchmark libraries, analytical model artifacts, methodology documentation, and proposal win/loss data.</w:t>
            </w:r>
          </w:p>
        </w:tc>
      </w:tr>
      <w:tr>
        <w:tc>
          <w:tcPr>
            <w:tcW w:type="dxa" w:w="20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Primary Inputs</w:t>
            </w:r>
          </w:p>
        </w:tc>
        <w:tc>
          <w:tcPr>
            <w:tcW w:type="dxa" w:w="73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Post-engagement data packages, benchmark feeds, proposal outcomes</w:t>
            </w:r>
          </w:p>
        </w:tc>
      </w:tr>
      <w:tr>
        <w:tc>
          <w:tcPr>
            <w:tcW w:type="dxa" w:w="20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Primary Outputs</w:t>
            </w:r>
          </w:p>
        </w:tc>
        <w:tc>
          <w:tcPr>
            <w:tcW w:type="dxa" w:w="736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Knowledge base artifacts, win/loss analytics reports, methodology updates</w:t>
            </w:r>
          </w:p>
        </w:tc>
      </w:tr>
      <w:tr>
        <w:tc>
          <w:tcPr>
            <w:tcW w:type="dxa" w:w="20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Success KPIs</w:t>
            </w:r>
          </w:p>
        </w:tc>
        <w:tc>
          <w:tcPr>
            <w:tcW w:type="dxa" w:w="73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Knowledge base completeness, retrieval accuracy, win/loss data coverage</w:t>
            </w:r>
          </w:p>
        </w:tc>
      </w:tr>
    </w:tbl>
    <w:p>
      <w:pPr>
        <w:spacing w:after="0" w:before="0"/>
      </w:pPr>
      <w:r>
        <w:rPr>
          <w:sz w:val="24"/>
          <w:szCs w:val="24"/>
        </w:rPr>
        <w:t xml:space="preserve"/>
      </w:r>
    </w:p>
    <w:p>
      <w:r>
        <w:br w:type="page"/>
      </w:r>
    </w:p>
    <w:p>
      <w:pPr>
        <w:pStyle w:val="Heading1"/>
        <w:spacing w:after="160" w:before="400"/>
      </w:pPr>
      <w:r>
        <w:rPr>
          <w:rFonts w:ascii="Arial" w:cs="Arial" w:eastAsia="Arial" w:hAnsi="Arial"/>
          <w:b/>
          <w:bCs/>
          <w:color w:val="1B3A5C"/>
          <w:sz w:val="30"/>
          <w:szCs w:val="30"/>
        </w:rPr>
        <w:t xml:space="preserve">5  Data Architecture &amp; Integration</w:t>
      </w:r>
    </w:p>
    <w:p>
      <w:pPr>
        <w:pBdr>
          <w:bottom w:val="single" w:color="2E6DA4" w:sz="4" w:space="1"/>
        </w:pBdr>
        <w:spacing w:after="120" w:before="120"/>
      </w:pPr>
      <w:r>
        <w:t xml:space="preserve"/>
      </w:r>
    </w:p>
    <w:p>
      <w:pPr>
        <w:spacing w:after="0" w:before="0"/>
      </w:pPr>
      <w:r>
        <w:rPr>
          <w:sz w:val="12"/>
          <w:szCs w:val="12"/>
        </w:rPr>
        <w:t xml:space="preserve"/>
      </w:r>
    </w:p>
    <w:p>
      <w:pPr>
        <w:pStyle w:val="Heading2"/>
        <w:spacing w:after="120" w:before="300"/>
      </w:pPr>
      <w:r>
        <w:rPr>
          <w:rFonts w:ascii="Arial" w:cs="Arial" w:eastAsia="Arial" w:hAnsi="Arial"/>
          <w:b/>
          <w:bCs/>
          <w:color w:val="2E6DA4"/>
          <w:sz w:val="24"/>
          <w:szCs w:val="24"/>
        </w:rPr>
        <w:t xml:space="preserve">5.1  Data Architecture Principles</w:t>
      </w:r>
    </w:p>
    <w:p>
      <w:pPr>
        <w:pStyle w:val="ListParagraph"/>
        <w:numPr>
          <w:ilvl w:val="0"/>
          <w:numId w:val="2"/>
        </w:numPr>
        <w:spacing w:after="40" w:before="40"/>
      </w:pPr>
      <w:r>
        <w:rPr>
          <w:rFonts w:ascii="Arial" w:cs="Arial" w:eastAsia="Arial" w:hAnsi="Arial"/>
          <w:color w:val="1A1A1A"/>
          <w:sz w:val="20"/>
          <w:szCs w:val="20"/>
        </w:rPr>
        <w:t xml:space="preserve">Medallion architecture enforced: Bronze (raw ingest), Silver (cleansed and conformed), Gold (analytics-ready) layers in Delta Lake</w:t>
      </w:r>
    </w:p>
    <w:p>
      <w:pPr>
        <w:pStyle w:val="ListParagraph"/>
        <w:numPr>
          <w:ilvl w:val="0"/>
          <w:numId w:val="2"/>
        </w:numPr>
        <w:spacing w:after="40" w:before="40"/>
      </w:pPr>
      <w:r>
        <w:rPr>
          <w:rFonts w:ascii="Arial" w:cs="Arial" w:eastAsia="Arial" w:hAnsi="Arial"/>
          <w:color w:val="1A1A1A"/>
          <w:sz w:val="20"/>
          <w:szCs w:val="20"/>
        </w:rPr>
        <w:t xml:space="preserve">All data assets registered in Unity Catalog with enforced access controls and lineage tracking</w:t>
      </w:r>
    </w:p>
    <w:p>
      <w:pPr>
        <w:pStyle w:val="ListParagraph"/>
        <w:numPr>
          <w:ilvl w:val="0"/>
          <w:numId w:val="2"/>
        </w:numPr>
        <w:spacing w:after="40" w:before="40"/>
      </w:pPr>
      <w:r>
        <w:rPr>
          <w:rFonts w:ascii="Arial" w:cs="Arial" w:eastAsia="Arial" w:hAnsi="Arial"/>
          <w:color w:val="1A1A1A"/>
          <w:sz w:val="20"/>
          <w:szCs w:val="20"/>
        </w:rPr>
        <w:t xml:space="preserve">Schema evolution handled via Delta Lake schema enforcement and mergeSchema policies</w:t>
      </w:r>
    </w:p>
    <w:p>
      <w:pPr>
        <w:pStyle w:val="ListParagraph"/>
        <w:numPr>
          <w:ilvl w:val="0"/>
          <w:numId w:val="2"/>
        </w:numPr>
        <w:spacing w:after="40" w:before="40"/>
      </w:pPr>
      <w:r>
        <w:rPr>
          <w:rFonts w:ascii="Arial" w:cs="Arial" w:eastAsia="Arial" w:hAnsi="Arial"/>
          <w:color w:val="1A1A1A"/>
          <w:sz w:val="20"/>
          <w:szCs w:val="20"/>
        </w:rPr>
        <w:t xml:space="preserve">All PII and client-sensitive data encrypted at rest (AES-256) and in transit (TLS 1.3)</w:t>
      </w:r>
    </w:p>
    <w:p>
      <w:pPr>
        <w:pStyle w:val="ListParagraph"/>
        <w:numPr>
          <w:ilvl w:val="0"/>
          <w:numId w:val="2"/>
        </w:numPr>
        <w:spacing w:after="40" w:before="40"/>
      </w:pPr>
      <w:r>
        <w:rPr>
          <w:rFonts w:ascii="Arial" w:cs="Arial" w:eastAsia="Arial" w:hAnsi="Arial"/>
          <w:color w:val="1A1A1A"/>
          <w:sz w:val="20"/>
          <w:szCs w:val="20"/>
        </w:rPr>
        <w:t xml:space="preserve">Data retention policies enforced per engagement contract terms; post-engagement anonymization applied before knowledge base promotion</w:t>
      </w:r>
    </w:p>
    <w:p>
      <w:pPr>
        <w:spacing w:after="0" w:before="0"/>
      </w:pPr>
      <w:r>
        <w:rPr>
          <w:sz w:val="20"/>
          <w:szCs w:val="20"/>
        </w:rPr>
        <w:t xml:space="preserve"/>
      </w:r>
    </w:p>
    <w:p>
      <w:pPr>
        <w:pStyle w:val="Heading2"/>
        <w:spacing w:after="120" w:before="300"/>
      </w:pPr>
      <w:r>
        <w:rPr>
          <w:rFonts w:ascii="Arial" w:cs="Arial" w:eastAsia="Arial" w:hAnsi="Arial"/>
          <w:b/>
          <w:bCs/>
          <w:color w:val="2E6DA4"/>
          <w:sz w:val="24"/>
          <w:szCs w:val="24"/>
        </w:rPr>
        <w:t xml:space="preserve">5.2  Source System Integration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2160"/>
        <w:gridCol w:w="1800"/>
      </w:tblGrid>
      <w:tr>
        <w:tc>
          <w:tcPr>
            <w:tcW w:type="dxa" w:w="1800"/>
            <w:tcBorders>
              <w:top w:val="single" w:color="C9D4DF" w:sz="1"/>
              <w:left w:val="single" w:color="C9D4DF" w:sz="1"/>
              <w:bottom w:val="single" w:color="C9D4DF" w:sz="1"/>
              <w:right w:val="single" w:color="C9D4DF"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System Type</w:t>
            </w:r>
          </w:p>
        </w:tc>
        <w:tc>
          <w:tcPr>
            <w:tcW w:type="dxa" w:w="1800"/>
            <w:tcBorders>
              <w:top w:val="single" w:color="C9D4DF" w:sz="1"/>
              <w:left w:val="single" w:color="C9D4DF" w:sz="1"/>
              <w:bottom w:val="single" w:color="C9D4DF" w:sz="1"/>
              <w:right w:val="single" w:color="C9D4DF"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Example Platforms</w:t>
            </w:r>
          </w:p>
        </w:tc>
        <w:tc>
          <w:tcPr>
            <w:tcW w:type="dxa" w:w="1800"/>
            <w:tcBorders>
              <w:top w:val="single" w:color="C9D4DF" w:sz="1"/>
              <w:left w:val="single" w:color="C9D4DF" w:sz="1"/>
              <w:bottom w:val="single" w:color="C9D4DF" w:sz="1"/>
              <w:right w:val="single" w:color="C9D4DF"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Integration Pattern</w:t>
            </w:r>
          </w:p>
        </w:tc>
        <w:tc>
          <w:tcPr>
            <w:tcW w:type="dxa" w:w="2160"/>
            <w:tcBorders>
              <w:top w:val="single" w:color="C9D4DF" w:sz="1"/>
              <w:left w:val="single" w:color="C9D4DF" w:sz="1"/>
              <w:bottom w:val="single" w:color="C9D4DF" w:sz="1"/>
              <w:right w:val="single" w:color="C9D4DF"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Key Data Domains</w:t>
            </w:r>
          </w:p>
        </w:tc>
        <w:tc>
          <w:tcPr>
            <w:tcW w:type="dxa" w:w="1800"/>
            <w:tcBorders>
              <w:top w:val="single" w:color="C9D4DF" w:sz="1"/>
              <w:left w:val="single" w:color="C9D4DF" w:sz="1"/>
              <w:bottom w:val="single" w:color="C9D4DF" w:sz="1"/>
              <w:right w:val="single" w:color="C9D4DF"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Refresh Cadence</w:t>
            </w:r>
          </w:p>
        </w:tc>
      </w:tr>
      <w:tr>
        <w:tc>
          <w:tcPr>
            <w:tcW w:type="dxa" w:w="18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ERP</w:t>
            </w:r>
          </w:p>
        </w:tc>
        <w:tc>
          <w:tcPr>
            <w:tcW w:type="dxa" w:w="18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SAP S/4HANA, Oracle EBS, Microsoft D365</w:t>
            </w:r>
          </w:p>
        </w:tc>
        <w:tc>
          <w:tcPr>
            <w:tcW w:type="dxa" w:w="18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JDBC / OData REST / SFTP</w:t>
            </w:r>
          </w:p>
        </w:tc>
        <w:tc>
          <w:tcPr>
            <w:tcW w:type="dxa" w:w="21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Purchase orders, inventory movements, financials, vendor master</w:t>
            </w:r>
          </w:p>
        </w:tc>
        <w:tc>
          <w:tcPr>
            <w:tcW w:type="dxa" w:w="18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Daily / Event-triggered</w:t>
            </w:r>
          </w:p>
        </w:tc>
      </w:tr>
      <w:tr>
        <w:tc>
          <w:tcPr>
            <w:tcW w:type="dxa" w:w="18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WMS</w:t>
            </w:r>
          </w:p>
        </w:tc>
        <w:tc>
          <w:tcPr>
            <w:tcW w:type="dxa" w:w="18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Manhattan, Blue Yonder, SAP EWM</w:t>
            </w:r>
          </w:p>
        </w:tc>
        <w:tc>
          <w:tcPr>
            <w:tcW w:type="dxa" w:w="18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REST API / SFTP flat file</w:t>
            </w:r>
          </w:p>
        </w:tc>
        <w:tc>
          <w:tcPr>
            <w:tcW w:type="dxa" w:w="216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Inventory positions, receipts, shipments, labor metrics</w:t>
            </w:r>
          </w:p>
        </w:tc>
        <w:tc>
          <w:tcPr>
            <w:tcW w:type="dxa" w:w="18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Daily / Near-real-time</w:t>
            </w:r>
          </w:p>
        </w:tc>
      </w:tr>
      <w:tr>
        <w:tc>
          <w:tcPr>
            <w:tcW w:type="dxa" w:w="18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TMS</w:t>
            </w:r>
          </w:p>
        </w:tc>
        <w:tc>
          <w:tcPr>
            <w:tcW w:type="dxa" w:w="18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Oracle TMS, MercuryGate, SAP TM</w:t>
            </w:r>
          </w:p>
        </w:tc>
        <w:tc>
          <w:tcPr>
            <w:tcW w:type="dxa" w:w="18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REST API / EDI 204/214</w:t>
            </w:r>
          </w:p>
        </w:tc>
        <w:tc>
          <w:tcPr>
            <w:tcW w:type="dxa" w:w="21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Shipment records, carrier costs, transit times, PODs</w:t>
            </w:r>
          </w:p>
        </w:tc>
        <w:tc>
          <w:tcPr>
            <w:tcW w:type="dxa" w:w="18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Daily</w:t>
            </w:r>
          </w:p>
        </w:tc>
      </w:tr>
      <w:tr>
        <w:tc>
          <w:tcPr>
            <w:tcW w:type="dxa" w:w="18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Planning</w:t>
            </w:r>
          </w:p>
        </w:tc>
        <w:tc>
          <w:tcPr>
            <w:tcW w:type="dxa" w:w="18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Kinaxis, o9 Solutions, Blue Yonder IBP</w:t>
            </w:r>
          </w:p>
        </w:tc>
        <w:tc>
          <w:tcPr>
            <w:tcW w:type="dxa" w:w="18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REST API / CSV export</w:t>
            </w:r>
          </w:p>
        </w:tc>
        <w:tc>
          <w:tcPr>
            <w:tcW w:type="dxa" w:w="216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Demand plans, supply plans, inventory targets, exceptions</w:t>
            </w:r>
          </w:p>
        </w:tc>
        <w:tc>
          <w:tcPr>
            <w:tcW w:type="dxa" w:w="18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Weekly</w:t>
            </w:r>
          </w:p>
        </w:tc>
      </w:tr>
      <w:tr>
        <w:tc>
          <w:tcPr>
            <w:tcW w:type="dxa" w:w="18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Procurement</w:t>
            </w:r>
          </w:p>
        </w:tc>
        <w:tc>
          <w:tcPr>
            <w:tcW w:type="dxa" w:w="18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Coupa, SAP Ariba, Ivalua</w:t>
            </w:r>
          </w:p>
        </w:tc>
        <w:tc>
          <w:tcPr>
            <w:tcW w:type="dxa" w:w="18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REST API / SFTP</w:t>
            </w:r>
          </w:p>
        </w:tc>
        <w:tc>
          <w:tcPr>
            <w:tcW w:type="dxa" w:w="21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Spend data, contract pricing, supplier performance, sourcing events</w:t>
            </w:r>
          </w:p>
        </w:tc>
        <w:tc>
          <w:tcPr>
            <w:tcW w:type="dxa" w:w="18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Weekly</w:t>
            </w:r>
          </w:p>
        </w:tc>
      </w:tr>
    </w:tbl>
    <w:p>
      <w:pPr>
        <w:spacing w:after="0" w:before="0"/>
      </w:pPr>
      <w:r>
        <w:rPr>
          <w:sz w:val="20"/>
          <w:szCs w:val="20"/>
        </w:rPr>
        <w:t xml:space="preserve"/>
      </w:r>
    </w:p>
    <w:p>
      <w:pPr>
        <w:pStyle w:val="Heading2"/>
        <w:spacing w:after="120" w:before="300"/>
      </w:pPr>
      <w:r>
        <w:rPr>
          <w:rFonts w:ascii="Arial" w:cs="Arial" w:eastAsia="Arial" w:hAnsi="Arial"/>
          <w:b/>
          <w:bCs/>
          <w:color w:val="2E6DA4"/>
          <w:sz w:val="24"/>
          <w:szCs w:val="24"/>
        </w:rPr>
        <w:t xml:space="preserve">5.3  Data Quality Requirements</w:t>
      </w:r>
    </w:p>
    <w:p>
      <w:pPr>
        <w:pStyle w:val="ListParagraph"/>
        <w:numPr>
          <w:ilvl w:val="0"/>
          <w:numId w:val="2"/>
        </w:numPr>
        <w:spacing w:after="40" w:before="40"/>
      </w:pPr>
      <w:r>
        <w:rPr>
          <w:rFonts w:ascii="Arial" w:cs="Arial" w:eastAsia="Arial" w:hAnsi="Arial"/>
          <w:color w:val="1A1A1A"/>
          <w:sz w:val="20"/>
          <w:szCs w:val="20"/>
        </w:rPr>
        <w:t xml:space="preserve">Completeness: Critical KPI fields must achieve &gt;= 95% population rate before baseline computation proceeds</w:t>
      </w:r>
    </w:p>
    <w:p>
      <w:pPr>
        <w:pStyle w:val="ListParagraph"/>
        <w:numPr>
          <w:ilvl w:val="0"/>
          <w:numId w:val="2"/>
        </w:numPr>
        <w:spacing w:after="40" w:before="40"/>
      </w:pPr>
      <w:r>
        <w:rPr>
          <w:rFonts w:ascii="Arial" w:cs="Arial" w:eastAsia="Arial" w:hAnsi="Arial"/>
          <w:color w:val="1A1A1A"/>
          <w:sz w:val="20"/>
          <w:szCs w:val="20"/>
        </w:rPr>
        <w:t xml:space="preserve">Timeliness: All source data must be flagged with ingestion timestamp; data older than 5 business days triggers a data freshness alert</w:t>
      </w:r>
    </w:p>
    <w:p>
      <w:pPr>
        <w:pStyle w:val="ListParagraph"/>
        <w:numPr>
          <w:ilvl w:val="0"/>
          <w:numId w:val="2"/>
        </w:numPr>
        <w:spacing w:after="40" w:before="40"/>
      </w:pPr>
      <w:r>
        <w:rPr>
          <w:rFonts w:ascii="Arial" w:cs="Arial" w:eastAsia="Arial" w:hAnsi="Arial"/>
          <w:color w:val="1A1A1A"/>
          <w:sz w:val="20"/>
          <w:szCs w:val="20"/>
        </w:rPr>
        <w:t xml:space="preserve">Consistency: Referential integrity between transaction records and master data validated at Bronze-to-Silver promotion</w:t>
      </w:r>
    </w:p>
    <w:p>
      <w:pPr>
        <w:pStyle w:val="ListParagraph"/>
        <w:numPr>
          <w:ilvl w:val="0"/>
          <w:numId w:val="2"/>
        </w:numPr>
        <w:spacing w:after="40" w:before="40"/>
      </w:pPr>
      <w:r>
        <w:rPr>
          <w:rFonts w:ascii="Arial" w:cs="Arial" w:eastAsia="Arial" w:hAnsi="Arial"/>
          <w:color w:val="1A1A1A"/>
          <w:sz w:val="20"/>
          <w:szCs w:val="20"/>
        </w:rPr>
        <w:t xml:space="preserve">Accuracy: Automated reconciliation checks executed against client-provided control totals where available; variance &gt; 0.5% escalated to engagement manager</w:t>
      </w:r>
    </w:p>
    <w:p>
      <w:pPr>
        <w:pStyle w:val="ListParagraph"/>
        <w:numPr>
          <w:ilvl w:val="0"/>
          <w:numId w:val="2"/>
        </w:numPr>
        <w:spacing w:after="40" w:before="40"/>
      </w:pPr>
      <w:r>
        <w:rPr>
          <w:rFonts w:ascii="Arial" w:cs="Arial" w:eastAsia="Arial" w:hAnsi="Arial"/>
          <w:color w:val="1A1A1A"/>
          <w:sz w:val="20"/>
          <w:szCs w:val="20"/>
        </w:rPr>
        <w:t xml:space="preserve">Lineage: Full data lineage tracked from source system through to deliverable exhibit for audit purposes</w:t>
      </w:r>
    </w:p>
    <w:p>
      <w:pPr>
        <w:spacing w:after="0" w:before="0"/>
      </w:pPr>
      <w:r>
        <w:rPr>
          <w:sz w:val="20"/>
          <w:szCs w:val="20"/>
        </w:rPr>
        <w:t xml:space="preserve"/>
      </w:r>
    </w:p>
    <w:p>
      <w:pPr>
        <w:pStyle w:val="Heading2"/>
        <w:spacing w:after="120" w:before="300"/>
      </w:pPr>
      <w:r>
        <w:rPr>
          <w:rFonts w:ascii="Arial" w:cs="Arial" w:eastAsia="Arial" w:hAnsi="Arial"/>
          <w:b/>
          <w:bCs/>
          <w:color w:val="2E6DA4"/>
          <w:sz w:val="24"/>
          <w:szCs w:val="24"/>
        </w:rPr>
        <w:t xml:space="preserve">5.4  Knowledge Base Data Model</w:t>
      </w:r>
    </w:p>
    <w:p>
      <w:pPr>
        <w:spacing w:after="60" w:before="60"/>
      </w:pPr>
      <w:r>
        <w:rPr>
          <w:rFonts w:ascii="Arial" w:cs="Arial" w:eastAsia="Arial" w:hAnsi="Arial"/>
          <w:color w:val="1A1A1A"/>
          <w:sz w:val="20"/>
          <w:szCs w:val="20"/>
        </w:rPr>
        <w:t xml:space="preserve">The firm knowledge base is maintained in Snowflake with the following primary entity domains:</w:t>
      </w:r>
    </w:p>
    <w:p>
      <w:pPr>
        <w:spacing w:after="0" w:before="0"/>
      </w:pPr>
      <w:r>
        <w:rPr>
          <w:sz w:val="8"/>
          <w:szCs w:val="8"/>
        </w:rPr>
        <w:t xml:space="preserve"/>
      </w:r>
    </w:p>
    <w:p>
      <w:pPr>
        <w:pStyle w:val="ListParagraph"/>
        <w:numPr>
          <w:ilvl w:val="0"/>
          <w:numId w:val="2"/>
        </w:numPr>
        <w:spacing w:after="40" w:before="40"/>
      </w:pPr>
      <w:r>
        <w:rPr>
          <w:rFonts w:ascii="Arial" w:cs="Arial" w:eastAsia="Arial" w:hAnsi="Arial"/>
          <w:color w:val="1A1A1A"/>
          <w:sz w:val="20"/>
          <w:szCs w:val="20"/>
        </w:rPr>
        <w:t xml:space="preserve">Client Engagement Registry: Engagement metadata, client profiles, engagement team assignments</w:t>
      </w:r>
    </w:p>
    <w:p>
      <w:pPr>
        <w:pStyle w:val="ListParagraph"/>
        <w:numPr>
          <w:ilvl w:val="0"/>
          <w:numId w:val="2"/>
        </w:numPr>
        <w:spacing w:after="40" w:before="40"/>
      </w:pPr>
      <w:r>
        <w:rPr>
          <w:rFonts w:ascii="Arial" w:cs="Arial" w:eastAsia="Arial" w:hAnsi="Arial"/>
          <w:color w:val="1A1A1A"/>
          <w:sz w:val="20"/>
          <w:szCs w:val="20"/>
        </w:rPr>
        <w:t xml:space="preserve">Anonymized Performance Repository: Post-engagement supply chain KPI dataset (anonymized per engagement close protocol)</w:t>
      </w:r>
    </w:p>
    <w:p>
      <w:pPr>
        <w:pStyle w:val="ListParagraph"/>
        <w:numPr>
          <w:ilvl w:val="0"/>
          <w:numId w:val="2"/>
        </w:numPr>
        <w:spacing w:after="40" w:before="40"/>
      </w:pPr>
      <w:r>
        <w:rPr>
          <w:rFonts w:ascii="Arial" w:cs="Arial" w:eastAsia="Arial" w:hAnsi="Arial"/>
          <w:color w:val="1A1A1A"/>
          <w:sz w:val="20"/>
          <w:szCs w:val="20"/>
        </w:rPr>
        <w:t xml:space="preserve">Benchmark Library: Gartner, Hackett Group, and proprietary firm benchmark datasets with versioning</w:t>
      </w:r>
    </w:p>
    <w:p>
      <w:pPr>
        <w:pStyle w:val="ListParagraph"/>
        <w:numPr>
          <w:ilvl w:val="0"/>
          <w:numId w:val="2"/>
        </w:numPr>
        <w:spacing w:after="40" w:before="40"/>
      </w:pPr>
      <w:r>
        <w:rPr>
          <w:rFonts w:ascii="Arial" w:cs="Arial" w:eastAsia="Arial" w:hAnsi="Arial"/>
          <w:color w:val="1A1A1A"/>
          <w:sz w:val="20"/>
          <w:szCs w:val="20"/>
        </w:rPr>
        <w:t xml:space="preserve">Model Registry: Trained ML model artifacts with MLflow-managed versioning and performance metadata</w:t>
      </w:r>
    </w:p>
    <w:p>
      <w:pPr>
        <w:pStyle w:val="ListParagraph"/>
        <w:numPr>
          <w:ilvl w:val="0"/>
          <w:numId w:val="2"/>
        </w:numPr>
        <w:spacing w:after="40" w:before="40"/>
      </w:pPr>
      <w:r>
        <w:rPr>
          <w:rFonts w:ascii="Arial" w:cs="Arial" w:eastAsia="Arial" w:hAnsi="Arial"/>
          <w:color w:val="1A1A1A"/>
          <w:sz w:val="20"/>
          <w:szCs w:val="20"/>
        </w:rPr>
        <w:t xml:space="preserve">Methodology Repository: Consulting frameworks, diagnostic tools, maturity models, and analytic playbooks</w:t>
      </w:r>
    </w:p>
    <w:p>
      <w:pPr>
        <w:pStyle w:val="ListParagraph"/>
        <w:numPr>
          <w:ilvl w:val="0"/>
          <w:numId w:val="2"/>
        </w:numPr>
        <w:spacing w:after="40" w:before="40"/>
      </w:pPr>
      <w:r>
        <w:rPr>
          <w:rFonts w:ascii="Arial" w:cs="Arial" w:eastAsia="Arial" w:hAnsi="Arial"/>
          <w:color w:val="1A1A1A"/>
          <w:sz w:val="20"/>
          <w:szCs w:val="20"/>
        </w:rPr>
        <w:t xml:space="preserve">Proposal &amp; Win/Loss Repository: Proposal submissions, competitive outcomes, pricing data, win/loss attribution</w:t>
      </w:r>
    </w:p>
    <w:p>
      <w:r>
        <w:br w:type="page"/>
      </w:r>
    </w:p>
    <w:p>
      <w:pPr>
        <w:pStyle w:val="Heading1"/>
        <w:spacing w:after="160" w:before="400"/>
      </w:pPr>
      <w:r>
        <w:rPr>
          <w:rFonts w:ascii="Arial" w:cs="Arial" w:eastAsia="Arial" w:hAnsi="Arial"/>
          <w:b/>
          <w:bCs/>
          <w:color w:val="1B3A5C"/>
          <w:sz w:val="30"/>
          <w:szCs w:val="30"/>
        </w:rPr>
        <w:t xml:space="preserve">6  Technology Stack</w:t>
      </w:r>
    </w:p>
    <w:p>
      <w:pPr>
        <w:pBdr>
          <w:bottom w:val="single" w:color="2E6DA4" w:sz="4" w:space="1"/>
        </w:pBdr>
        <w:spacing w:after="120" w:before="120"/>
      </w:pPr>
      <w:r>
        <w:t xml:space="preserve"/>
      </w:r>
    </w:p>
    <w:p>
      <w:pPr>
        <w:spacing w:after="0" w:before="0"/>
      </w:pPr>
      <w:r>
        <w:rPr>
          <w:sz w:val="12"/>
          <w:szCs w:val="12"/>
        </w:rPr>
        <w:t xml:space="preserve"/>
      </w:r>
    </w:p>
    <w:p>
      <w:pPr>
        <w:spacing w:after="60" w:before="60"/>
      </w:pPr>
      <w:r>
        <w:rPr>
          <w:rFonts w:ascii="Arial" w:cs="Arial" w:eastAsia="Arial" w:hAnsi="Arial"/>
          <w:color w:val="1A1A1A"/>
          <w:sz w:val="20"/>
          <w:szCs w:val="20"/>
        </w:rPr>
        <w:t xml:space="preserve">The following technology stack defines the approved tooling for AGT-16 implementation. All tooling selections have been validated against COCOM Group enterprise architecture standards and existing licensing agreements.</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3260"/>
        <w:gridCol w:w="1300"/>
      </w:tblGrid>
      <w:tr>
        <w:tc>
          <w:tcPr>
            <w:tcW w:type="dxa" w:w="2000"/>
            <w:tcBorders>
              <w:top w:val="single" w:color="C9D4DF" w:sz="1"/>
              <w:left w:val="single" w:color="C9D4DF" w:sz="1"/>
              <w:bottom w:val="single" w:color="C9D4DF" w:sz="1"/>
              <w:right w:val="single" w:color="C9D4DF"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Category</w:t>
            </w:r>
          </w:p>
        </w:tc>
        <w:tc>
          <w:tcPr>
            <w:tcW w:type="dxa" w:w="2800"/>
            <w:tcBorders>
              <w:top w:val="single" w:color="C9D4DF" w:sz="1"/>
              <w:left w:val="single" w:color="C9D4DF" w:sz="1"/>
              <w:bottom w:val="single" w:color="C9D4DF" w:sz="1"/>
              <w:right w:val="single" w:color="C9D4DF"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Tool / Platform</w:t>
            </w:r>
          </w:p>
        </w:tc>
        <w:tc>
          <w:tcPr>
            <w:tcW w:type="dxa" w:w="3260"/>
            <w:tcBorders>
              <w:top w:val="single" w:color="C9D4DF" w:sz="1"/>
              <w:left w:val="single" w:color="C9D4DF" w:sz="1"/>
              <w:bottom w:val="single" w:color="C9D4DF" w:sz="1"/>
              <w:right w:val="single" w:color="C9D4DF"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Role in AGT-16</w:t>
            </w:r>
          </w:p>
        </w:tc>
        <w:tc>
          <w:tcPr>
            <w:tcW w:type="dxa" w:w="1300"/>
            <w:tcBorders>
              <w:top w:val="single" w:color="C9D4DF" w:sz="1"/>
              <w:left w:val="single" w:color="C9D4DF" w:sz="1"/>
              <w:bottom w:val="single" w:color="C9D4DF" w:sz="1"/>
              <w:right w:val="single" w:color="C9D4DF"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Req. Refs</w:t>
            </w:r>
          </w:p>
        </w:tc>
      </w:tr>
      <w:tr>
        <w:tc>
          <w:tcPr>
            <w:tcW w:type="dxa" w:w="20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Visualization &amp; BI</w:t>
            </w:r>
          </w:p>
        </w:tc>
        <w:tc>
          <w:tcPr>
            <w:tcW w:type="dxa" w:w="28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Tableau, Power BI, Looker Studio</w:t>
            </w:r>
          </w:p>
        </w:tc>
        <w:tc>
          <w:tcPr>
            <w:tcW w:type="dxa" w:w="32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Client dashboard delivery and executive presentation rendering</w:t>
            </w:r>
          </w:p>
        </w:tc>
        <w:tc>
          <w:tcPr>
            <w:tcW w:type="dxa" w:w="13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FR-03, FR-15</w:t>
            </w:r>
          </w:p>
        </w:tc>
      </w:tr>
      <w:tr>
        <w:tc>
          <w:tcPr>
            <w:tcW w:type="dxa" w:w="20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Data Platform</w:t>
            </w:r>
          </w:p>
        </w:tc>
        <w:tc>
          <w:tcPr>
            <w:tcW w:type="dxa" w:w="28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Snowflake, Azure Databricks (Delta Lake)</w:t>
            </w:r>
          </w:p>
        </w:tc>
        <w:tc>
          <w:tcPr>
            <w:tcW w:type="dxa" w:w="326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Primary analytics compute, data warehousing, Delta Lake medallion architecture, ML training</w:t>
            </w:r>
          </w:p>
        </w:tc>
        <w:tc>
          <w:tcPr>
            <w:tcW w:type="dxa" w:w="13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FR-01, FR-02, FR-06, FR-14, FR-16</w:t>
            </w:r>
          </w:p>
        </w:tc>
      </w:tr>
      <w:tr>
        <w:tc>
          <w:tcPr>
            <w:tcW w:type="dxa" w:w="20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Analytics &amp; ML</w:t>
            </w:r>
          </w:p>
        </w:tc>
        <w:tc>
          <w:tcPr>
            <w:tcW w:type="dxa" w:w="28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Python (pandas, scikit-learn, matplotlib, statsmodels)</w:t>
            </w:r>
          </w:p>
        </w:tc>
        <w:tc>
          <w:tcPr>
            <w:tcW w:type="dxa" w:w="32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Statistical analysis, root cause analysis pipelines, predictive model development</w:t>
            </w:r>
          </w:p>
        </w:tc>
        <w:tc>
          <w:tcPr>
            <w:tcW w:type="dxa" w:w="13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FR-06, FR-14</w:t>
            </w:r>
          </w:p>
        </w:tc>
      </w:tr>
      <w:tr>
        <w:tc>
          <w:tcPr>
            <w:tcW w:type="dxa" w:w="20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Data Transformation</w:t>
            </w:r>
          </w:p>
        </w:tc>
        <w:tc>
          <w:tcPr>
            <w:tcW w:type="dxa" w:w="28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Alteryx, Apache Spark (PySpark)</w:t>
            </w:r>
          </w:p>
        </w:tc>
        <w:tc>
          <w:tcPr>
            <w:tcW w:type="dxa" w:w="326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ETL pipeline orchestration, data preparation, and advanced blending workflows</w:t>
            </w:r>
          </w:p>
        </w:tc>
        <w:tc>
          <w:tcPr>
            <w:tcW w:type="dxa" w:w="13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FR-01</w:t>
            </w:r>
          </w:p>
        </w:tc>
      </w:tr>
      <w:tr>
        <w:tc>
          <w:tcPr>
            <w:tcW w:type="dxa" w:w="20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Cloud Analytics</w:t>
            </w:r>
          </w:p>
        </w:tc>
        <w:tc>
          <w:tcPr>
            <w:tcW w:type="dxa" w:w="28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Google BigQuery</w:t>
            </w:r>
          </w:p>
        </w:tc>
        <w:tc>
          <w:tcPr>
            <w:tcW w:type="dxa" w:w="32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Supplemental large-scale analytics for market intelligence and competitive data workloads</w:t>
            </w:r>
          </w:p>
        </w:tc>
        <w:tc>
          <w:tcPr>
            <w:tcW w:type="dxa" w:w="13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FR-09, FR-13</w:t>
            </w:r>
          </w:p>
        </w:tc>
      </w:tr>
      <w:tr>
        <w:tc>
          <w:tcPr>
            <w:tcW w:type="dxa" w:w="20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External Benchmarks</w:t>
            </w:r>
          </w:p>
        </w:tc>
        <w:tc>
          <w:tcPr>
            <w:tcW w:type="dxa" w:w="28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Gartner Supply Chain Research, Hackett Group Benchmarks</w:t>
            </w:r>
          </w:p>
        </w:tc>
        <w:tc>
          <w:tcPr>
            <w:tcW w:type="dxa" w:w="326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Authoritative peer group and best-in-class benchmark data sourcing</w:t>
            </w:r>
          </w:p>
        </w:tc>
        <w:tc>
          <w:tcPr>
            <w:tcW w:type="dxa" w:w="13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FR-04, FR-11</w:t>
            </w:r>
          </w:p>
        </w:tc>
      </w:tr>
      <w:tr>
        <w:tc>
          <w:tcPr>
            <w:tcW w:type="dxa" w:w="20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Financial Modeling</w:t>
            </w:r>
          </w:p>
        </w:tc>
        <w:tc>
          <w:tcPr>
            <w:tcW w:type="dxa" w:w="28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Microsoft Excel (advanced models), Python (numpy, scipy)</w:t>
            </w:r>
          </w:p>
        </w:tc>
        <w:tc>
          <w:tcPr>
            <w:tcW w:type="dxa" w:w="32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Financial impact model templates, NPV/IRR/payback calculations, scenario modeling</w:t>
            </w:r>
          </w:p>
        </w:tc>
        <w:tc>
          <w:tcPr>
            <w:tcW w:type="dxa" w:w="13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FR-08, FR-12</w:t>
            </w:r>
          </w:p>
        </w:tc>
      </w:tr>
      <w:tr>
        <w:tc>
          <w:tcPr>
            <w:tcW w:type="dxa" w:w="20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ML Lifecycle</w:t>
            </w:r>
          </w:p>
        </w:tc>
        <w:tc>
          <w:tcPr>
            <w:tcW w:type="dxa" w:w="28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MLflow (Azure Databricks managed)</w:t>
            </w:r>
          </w:p>
        </w:tc>
        <w:tc>
          <w:tcPr>
            <w:tcW w:type="dxa" w:w="326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Model versioning, experiment tracking, model registry, and serving</w:t>
            </w:r>
          </w:p>
        </w:tc>
        <w:tc>
          <w:tcPr>
            <w:tcW w:type="dxa" w:w="13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FR-14</w:t>
            </w:r>
          </w:p>
        </w:tc>
      </w:tr>
      <w:tr>
        <w:tc>
          <w:tcPr>
            <w:tcW w:type="dxa" w:w="20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Orchestration</w:t>
            </w:r>
          </w:p>
        </w:tc>
        <w:tc>
          <w:tcPr>
            <w:tcW w:type="dxa" w:w="28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LangGraph, AGT-00 Orchestrator API</w:t>
            </w:r>
          </w:p>
        </w:tc>
        <w:tc>
          <w:tcPr>
            <w:tcW w:type="dxa" w:w="32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Agent workflow orchestration, inter-agent communication, task routing</w:t>
            </w:r>
          </w:p>
        </w:tc>
        <w:tc>
          <w:tcPr>
            <w:tcW w:type="dxa" w:w="13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All</w:t>
            </w:r>
          </w:p>
        </w:tc>
      </w:tr>
      <w:tr>
        <w:tc>
          <w:tcPr>
            <w:tcW w:type="dxa" w:w="20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Data Quality</w:t>
            </w:r>
          </w:p>
        </w:tc>
        <w:tc>
          <w:tcPr>
            <w:tcW w:type="dxa" w:w="28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Great Expectations, custom PySpark validators</w:t>
            </w:r>
          </w:p>
        </w:tc>
        <w:tc>
          <w:tcPr>
            <w:tcW w:type="dxa" w:w="326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Automated data quality gate enforcement at Bronze-to-Silver and Silver-to-Gold transitions</w:t>
            </w:r>
          </w:p>
        </w:tc>
        <w:tc>
          <w:tcPr>
            <w:tcW w:type="dxa" w:w="13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FR-01</w:t>
            </w:r>
          </w:p>
        </w:tc>
      </w:tr>
      <w:tr>
        <w:tc>
          <w:tcPr>
            <w:tcW w:type="dxa" w:w="20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Secrets &amp; Config</w:t>
            </w:r>
          </w:p>
        </w:tc>
        <w:tc>
          <w:tcPr>
            <w:tcW w:type="dxa" w:w="28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Azure Key Vault, Databricks Secret Scopes</w:t>
            </w:r>
          </w:p>
        </w:tc>
        <w:tc>
          <w:tcPr>
            <w:tcW w:type="dxa" w:w="32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Credential management, connection string storage, API key rotation</w:t>
            </w:r>
          </w:p>
        </w:tc>
        <w:tc>
          <w:tcPr>
            <w:tcW w:type="dxa" w:w="13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All</w:t>
            </w:r>
          </w:p>
        </w:tc>
      </w:tr>
    </w:tbl>
    <w:p>
      <w:pPr>
        <w:spacing w:after="0" w:before="0"/>
      </w:pPr>
      <w:r>
        <w:rPr>
          <w:sz w:val="20"/>
          <w:szCs w:val="20"/>
        </w:rPr>
        <w:t xml:space="preserve"/>
      </w:r>
    </w:p>
    <w:p>
      <w:pPr>
        <w:pStyle w:val="Heading2"/>
        <w:spacing w:after="120" w:before="300"/>
      </w:pPr>
      <w:r>
        <w:rPr>
          <w:rFonts w:ascii="Arial" w:cs="Arial" w:eastAsia="Arial" w:hAnsi="Arial"/>
          <w:b/>
          <w:bCs/>
          <w:color w:val="2E6DA4"/>
          <w:sz w:val="24"/>
          <w:szCs w:val="24"/>
        </w:rPr>
        <w:t xml:space="preserve">6.1  Technology Constraints</w:t>
      </w:r>
    </w:p>
    <w:p>
      <w:pPr>
        <w:pStyle w:val="ListParagraph"/>
        <w:numPr>
          <w:ilvl w:val="0"/>
          <w:numId w:val="2"/>
        </w:numPr>
        <w:spacing w:after="40" w:before="40"/>
      </w:pPr>
      <w:r>
        <w:rPr>
          <w:rFonts w:ascii="Arial" w:cs="Arial" w:eastAsia="Arial" w:hAnsi="Arial"/>
          <w:color w:val="1A1A1A"/>
          <w:sz w:val="20"/>
          <w:szCs w:val="20"/>
        </w:rPr>
        <w:t xml:space="preserve">All data processing must remain within the approved Azure region (East US 2) to comply with client data residency requirements unless a client-specific exception is documented</w:t>
      </w:r>
    </w:p>
    <w:p>
      <w:pPr>
        <w:pStyle w:val="ListParagraph"/>
        <w:numPr>
          <w:ilvl w:val="0"/>
          <w:numId w:val="2"/>
        </w:numPr>
        <w:spacing w:after="40" w:before="40"/>
      </w:pPr>
      <w:r>
        <w:rPr>
          <w:rFonts w:ascii="Arial" w:cs="Arial" w:eastAsia="Arial" w:hAnsi="Arial"/>
          <w:color w:val="1A1A1A"/>
          <w:sz w:val="20"/>
          <w:szCs w:val="20"/>
        </w:rPr>
        <w:t xml:space="preserve">Third-party API integrations (Gartner, Hackett) must use firm-licensed credentials managed through Azure Key Vault; individual developer credentials are prohibited</w:t>
      </w:r>
    </w:p>
    <w:p>
      <w:pPr>
        <w:pStyle w:val="ListParagraph"/>
        <w:numPr>
          <w:ilvl w:val="0"/>
          <w:numId w:val="2"/>
        </w:numPr>
        <w:spacing w:after="40" w:before="40"/>
      </w:pPr>
      <w:r>
        <w:rPr>
          <w:rFonts w:ascii="Arial" w:cs="Arial" w:eastAsia="Arial" w:hAnsi="Arial"/>
          <w:color w:val="1A1A1A"/>
          <w:sz w:val="20"/>
          <w:szCs w:val="20"/>
        </w:rPr>
        <w:t xml:space="preserve">Python environments must be managed via Databricks Runtime ML 14.3 LTS or newer; package versions pinned in requirements.txt and validated against COCOM Group security baseline</w:t>
      </w:r>
    </w:p>
    <w:p>
      <w:pPr>
        <w:pStyle w:val="ListParagraph"/>
        <w:numPr>
          <w:ilvl w:val="0"/>
          <w:numId w:val="2"/>
        </w:numPr>
        <w:spacing w:after="40" w:before="40"/>
      </w:pPr>
      <w:r>
        <w:rPr>
          <w:rFonts w:ascii="Arial" w:cs="Arial" w:eastAsia="Arial" w:hAnsi="Arial"/>
          <w:color w:val="1A1A1A"/>
          <w:sz w:val="20"/>
          <w:szCs w:val="20"/>
        </w:rPr>
        <w:t xml:space="preserve">Tableau and Power BI workbooks published to client-facing workspaces must pass the firm's data classification review prior to sharing</w:t>
      </w:r>
    </w:p>
    <w:p>
      <w:r>
        <w:br w:type="page"/>
      </w:r>
    </w:p>
    <w:p>
      <w:pPr>
        <w:pStyle w:val="Heading1"/>
        <w:spacing w:after="160" w:before="400"/>
      </w:pPr>
      <w:r>
        <w:rPr>
          <w:rFonts w:ascii="Arial" w:cs="Arial" w:eastAsia="Arial" w:hAnsi="Arial"/>
          <w:b/>
          <w:bCs/>
          <w:color w:val="1B3A5C"/>
          <w:sz w:val="30"/>
          <w:szCs w:val="30"/>
        </w:rPr>
        <w:t xml:space="preserve">7  Input / Output Specification</w:t>
      </w:r>
    </w:p>
    <w:p>
      <w:pPr>
        <w:pBdr>
          <w:bottom w:val="single" w:color="2E6DA4" w:sz="4" w:space="1"/>
        </w:pBdr>
        <w:spacing w:after="120" w:before="120"/>
      </w:pPr>
      <w:r>
        <w:t xml:space="preserve"/>
      </w:r>
    </w:p>
    <w:p>
      <w:pPr>
        <w:spacing w:after="0" w:before="0"/>
      </w:pPr>
      <w:r>
        <w:rPr>
          <w:sz w:val="12"/>
          <w:szCs w:val="12"/>
        </w:rPr>
        <w:t xml:space="preserve"/>
      </w:r>
    </w:p>
    <w:p>
      <w:pPr>
        <w:pStyle w:val="Heading2"/>
        <w:spacing w:after="120" w:before="300"/>
      </w:pPr>
      <w:r>
        <w:rPr>
          <w:rFonts w:ascii="Arial" w:cs="Arial" w:eastAsia="Arial" w:hAnsi="Arial"/>
          <w:b/>
          <w:bCs/>
          <w:color w:val="2E6DA4"/>
          <w:sz w:val="24"/>
          <w:szCs w:val="24"/>
        </w:rPr>
        <w:t xml:space="preserve">7.1  Agent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1800"/>
        <w:gridCol w:w="1360"/>
      </w:tblGrid>
      <w:tr>
        <w:tc>
          <w:tcPr>
            <w:tcW w:type="dxa" w:w="2200"/>
            <w:tcBorders>
              <w:top w:val="single" w:color="C9D4DF" w:sz="1"/>
              <w:left w:val="single" w:color="C9D4DF" w:sz="1"/>
              <w:bottom w:val="single" w:color="C9D4DF" w:sz="1"/>
              <w:right w:val="single" w:color="C9D4DF"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Input Category</w:t>
            </w:r>
          </w:p>
        </w:tc>
        <w:tc>
          <w:tcPr>
            <w:tcW w:type="dxa" w:w="1800"/>
            <w:tcBorders>
              <w:top w:val="single" w:color="C9D4DF" w:sz="1"/>
              <w:left w:val="single" w:color="C9D4DF" w:sz="1"/>
              <w:bottom w:val="single" w:color="C9D4DF" w:sz="1"/>
              <w:right w:val="single" w:color="C9D4DF"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Format</w:t>
            </w:r>
          </w:p>
        </w:tc>
        <w:tc>
          <w:tcPr>
            <w:tcW w:type="dxa" w:w="2200"/>
            <w:tcBorders>
              <w:top w:val="single" w:color="C9D4DF" w:sz="1"/>
              <w:left w:val="single" w:color="C9D4DF" w:sz="1"/>
              <w:bottom w:val="single" w:color="C9D4DF" w:sz="1"/>
              <w:right w:val="single" w:color="C9D4DF"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w:t>
            </w:r>
          </w:p>
        </w:tc>
        <w:tc>
          <w:tcPr>
            <w:tcW w:type="dxa" w:w="1800"/>
            <w:tcBorders>
              <w:top w:val="single" w:color="C9D4DF" w:sz="1"/>
              <w:left w:val="single" w:color="C9D4DF" w:sz="1"/>
              <w:bottom w:val="single" w:color="C9D4DF" w:sz="1"/>
              <w:right w:val="single" w:color="C9D4DF"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Validation Rule</w:t>
            </w:r>
          </w:p>
        </w:tc>
        <w:tc>
          <w:tcPr>
            <w:tcW w:type="dxa" w:w="1360"/>
            <w:tcBorders>
              <w:top w:val="single" w:color="C9D4DF" w:sz="1"/>
              <w:left w:val="single" w:color="C9D4DF" w:sz="1"/>
              <w:bottom w:val="single" w:color="C9D4DF" w:sz="1"/>
              <w:right w:val="single" w:color="C9D4DF"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r>
      <w:tr>
        <w:tc>
          <w:tcPr>
            <w:tcW w:type="dxa" w:w="22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Client transactional data</w:t>
            </w:r>
          </w:p>
        </w:tc>
        <w:tc>
          <w:tcPr>
            <w:tcW w:type="dxa" w:w="18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Parquet / CSV / JSON</w:t>
            </w:r>
          </w:p>
        </w:tc>
        <w:tc>
          <w:tcPr>
            <w:tcW w:type="dxa" w:w="22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ERP, WMS, TMS connectors</w:t>
            </w:r>
          </w:p>
        </w:tc>
        <w:tc>
          <w:tcPr>
            <w:tcW w:type="dxa" w:w="18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Schema validation, null check, row count reconciliation</w:t>
            </w:r>
          </w:p>
        </w:tc>
        <w:tc>
          <w:tcPr>
            <w:tcW w:type="dxa" w:w="13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CM-01</w:t>
            </w:r>
          </w:p>
        </w:tc>
      </w:tr>
      <w:tr>
        <w:tc>
          <w:tcPr>
            <w:tcW w:type="dxa" w:w="22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Client master data</w:t>
            </w:r>
          </w:p>
        </w:tc>
        <w:tc>
          <w:tcPr>
            <w:tcW w:type="dxa" w:w="18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Parquet / CSV</w:t>
            </w:r>
          </w:p>
        </w:tc>
        <w:tc>
          <w:tcPr>
            <w:tcW w:type="dxa" w:w="22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ERP system</w:t>
            </w:r>
          </w:p>
        </w:tc>
        <w:tc>
          <w:tcPr>
            <w:tcW w:type="dxa" w:w="18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Referential integrity, completeness &gt;= 95%</w:t>
            </w:r>
          </w:p>
        </w:tc>
        <w:tc>
          <w:tcPr>
            <w:tcW w:type="dxa" w:w="136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CM-01</w:t>
            </w:r>
          </w:p>
        </w:tc>
      </w:tr>
      <w:tr>
        <w:tc>
          <w:tcPr>
            <w:tcW w:type="dxa" w:w="22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Engagement configuration</w:t>
            </w:r>
          </w:p>
        </w:tc>
        <w:tc>
          <w:tcPr>
            <w:tcW w:type="dxa" w:w="18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YAML / JSON</w:t>
            </w:r>
          </w:p>
        </w:tc>
        <w:tc>
          <w:tcPr>
            <w:tcW w:type="dxa" w:w="22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Engagement setup API</w:t>
            </w:r>
          </w:p>
        </w:tc>
        <w:tc>
          <w:tcPr>
            <w:tcW w:type="dxa" w:w="18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Required field validation, date range sanity check</w:t>
            </w:r>
          </w:p>
        </w:tc>
        <w:tc>
          <w:tcPr>
            <w:tcW w:type="dxa" w:w="13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CM-08</w:t>
            </w:r>
          </w:p>
        </w:tc>
      </w:tr>
      <w:tr>
        <w:tc>
          <w:tcPr>
            <w:tcW w:type="dxa" w:w="22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Benchmark data feeds</w:t>
            </w:r>
          </w:p>
        </w:tc>
        <w:tc>
          <w:tcPr>
            <w:tcW w:type="dxa" w:w="18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JSON API / Excel</w:t>
            </w:r>
          </w:p>
        </w:tc>
        <w:tc>
          <w:tcPr>
            <w:tcW w:type="dxa" w:w="22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Gartner, Hackett APIs</w:t>
            </w:r>
          </w:p>
        </w:tc>
        <w:tc>
          <w:tcPr>
            <w:tcW w:type="dxa" w:w="18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Version stamp, coverage date validation</w:t>
            </w:r>
          </w:p>
        </w:tc>
        <w:tc>
          <w:tcPr>
            <w:tcW w:type="dxa" w:w="136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CM-02</w:t>
            </w:r>
          </w:p>
        </w:tc>
      </w:tr>
      <w:tr>
        <w:tc>
          <w:tcPr>
            <w:tcW w:type="dxa" w:w="22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Market intelligence feeds</w:t>
            </w:r>
          </w:p>
        </w:tc>
        <w:tc>
          <w:tcPr>
            <w:tcW w:type="dxa" w:w="18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JSON API / RSS</w:t>
            </w:r>
          </w:p>
        </w:tc>
        <w:tc>
          <w:tcPr>
            <w:tcW w:type="dxa" w:w="22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Commodity, carrier, labor APIs</w:t>
            </w:r>
          </w:p>
        </w:tc>
        <w:tc>
          <w:tcPr>
            <w:tcW w:type="dxa" w:w="18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Freshness check (&lt;= 24hr), source authentication</w:t>
            </w:r>
          </w:p>
        </w:tc>
        <w:tc>
          <w:tcPr>
            <w:tcW w:type="dxa" w:w="13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CM-07</w:t>
            </w:r>
          </w:p>
        </w:tc>
      </w:tr>
      <w:tr>
        <w:tc>
          <w:tcPr>
            <w:tcW w:type="dxa" w:w="22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KPI targets and milestones</w:t>
            </w:r>
          </w:p>
        </w:tc>
        <w:tc>
          <w:tcPr>
            <w:tcW w:type="dxa" w:w="18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JSON / Excel</w:t>
            </w:r>
          </w:p>
        </w:tc>
        <w:tc>
          <w:tcPr>
            <w:tcW w:type="dxa" w:w="22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Engagement manager input</w:t>
            </w:r>
          </w:p>
        </w:tc>
        <w:tc>
          <w:tcPr>
            <w:tcW w:type="dxa" w:w="18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Completeness, numeric range validation</w:t>
            </w:r>
          </w:p>
        </w:tc>
        <w:tc>
          <w:tcPr>
            <w:tcW w:type="dxa" w:w="136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CM-08</w:t>
            </w:r>
          </w:p>
        </w:tc>
      </w:tr>
      <w:tr>
        <w:tc>
          <w:tcPr>
            <w:tcW w:type="dxa" w:w="22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Assessment responses</w:t>
            </w:r>
          </w:p>
        </w:tc>
        <w:tc>
          <w:tcPr>
            <w:tcW w:type="dxa" w:w="18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JSON / Form data</w:t>
            </w:r>
          </w:p>
        </w:tc>
        <w:tc>
          <w:tcPr>
            <w:tcW w:type="dxa" w:w="22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Client interview platform</w:t>
            </w:r>
          </w:p>
        </w:tc>
        <w:tc>
          <w:tcPr>
            <w:tcW w:type="dxa" w:w="18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Completeness &gt;= 80%, scoring scale validation</w:t>
            </w:r>
          </w:p>
        </w:tc>
        <w:tc>
          <w:tcPr>
            <w:tcW w:type="dxa" w:w="13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CM-09</w:t>
            </w:r>
          </w:p>
        </w:tc>
      </w:tr>
      <w:tr>
        <w:tc>
          <w:tcPr>
            <w:tcW w:type="dxa" w:w="22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Proposal and win/loss data</w:t>
            </w:r>
          </w:p>
        </w:tc>
        <w:tc>
          <w:tcPr>
            <w:tcW w:type="dxa" w:w="18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CSV / JSON</w:t>
            </w:r>
          </w:p>
        </w:tc>
        <w:tc>
          <w:tcPr>
            <w:tcW w:type="dxa" w:w="22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CRM system</w:t>
            </w:r>
          </w:p>
        </w:tc>
        <w:tc>
          <w:tcPr>
            <w:tcW w:type="dxa" w:w="18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Mandatory field presence, outcome categorization</w:t>
            </w:r>
          </w:p>
        </w:tc>
        <w:tc>
          <w:tcPr>
            <w:tcW w:type="dxa" w:w="136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CM-10</w:t>
            </w:r>
          </w:p>
        </w:tc>
      </w:tr>
    </w:tbl>
    <w:p>
      <w:pPr>
        <w:spacing w:after="0" w:before="0"/>
      </w:pPr>
      <w:r>
        <w:rPr>
          <w:sz w:val="20"/>
          <w:szCs w:val="20"/>
        </w:rPr>
        <w:t xml:space="preserve"/>
      </w:r>
    </w:p>
    <w:p>
      <w:pPr>
        <w:pStyle w:val="Heading2"/>
        <w:spacing w:after="120" w:before="300"/>
      </w:pPr>
      <w:r>
        <w:rPr>
          <w:rFonts w:ascii="Arial" w:cs="Arial" w:eastAsia="Arial" w:hAnsi="Arial"/>
          <w:b/>
          <w:bCs/>
          <w:color w:val="2E6DA4"/>
          <w:sz w:val="24"/>
          <w:szCs w:val="24"/>
        </w:rPr>
        <w:t xml:space="preserve">7.2  Agent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2200"/>
        <w:gridCol w:w="1800"/>
        <w:gridCol w:w="1260"/>
      </w:tblGrid>
      <w:tr>
        <w:tc>
          <w:tcPr>
            <w:tcW w:type="dxa" w:w="2500"/>
            <w:tcBorders>
              <w:top w:val="single" w:color="C9D4DF" w:sz="1"/>
              <w:left w:val="single" w:color="C9D4DF" w:sz="1"/>
              <w:bottom w:val="single" w:color="C9D4DF" w:sz="1"/>
              <w:right w:val="single" w:color="C9D4DF"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Output</w:t>
            </w:r>
          </w:p>
        </w:tc>
        <w:tc>
          <w:tcPr>
            <w:tcW w:type="dxa" w:w="1600"/>
            <w:tcBorders>
              <w:top w:val="single" w:color="C9D4DF" w:sz="1"/>
              <w:left w:val="single" w:color="C9D4DF" w:sz="1"/>
              <w:bottom w:val="single" w:color="C9D4DF" w:sz="1"/>
              <w:right w:val="single" w:color="C9D4DF"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Format</w:t>
            </w:r>
          </w:p>
        </w:tc>
        <w:tc>
          <w:tcPr>
            <w:tcW w:type="dxa" w:w="2200"/>
            <w:tcBorders>
              <w:top w:val="single" w:color="C9D4DF" w:sz="1"/>
              <w:left w:val="single" w:color="C9D4DF" w:sz="1"/>
              <w:bottom w:val="single" w:color="C9D4DF" w:sz="1"/>
              <w:right w:val="single" w:color="C9D4DF"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Consumer</w:t>
            </w:r>
          </w:p>
        </w:tc>
        <w:tc>
          <w:tcPr>
            <w:tcW w:type="dxa" w:w="1800"/>
            <w:tcBorders>
              <w:top w:val="single" w:color="C9D4DF" w:sz="1"/>
              <w:left w:val="single" w:color="C9D4DF" w:sz="1"/>
              <w:bottom w:val="single" w:color="C9D4DF" w:sz="1"/>
              <w:right w:val="single" w:color="C9D4DF"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Delivery Mechanism</w:t>
            </w:r>
          </w:p>
        </w:tc>
        <w:tc>
          <w:tcPr>
            <w:tcW w:type="dxa" w:w="1260"/>
            <w:tcBorders>
              <w:top w:val="single" w:color="C9D4DF" w:sz="1"/>
              <w:left w:val="single" w:color="C9D4DF" w:sz="1"/>
              <w:bottom w:val="single" w:color="C9D4DF" w:sz="1"/>
              <w:right w:val="single" w:color="C9D4DF"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Cadence</w:t>
            </w:r>
          </w:p>
        </w:tc>
      </w:tr>
      <w:tr>
        <w:tc>
          <w:tcPr>
            <w:tcW w:type="dxa" w:w="25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Supply chain performance baseline</w:t>
            </w:r>
          </w:p>
        </w:tc>
        <w:tc>
          <w:tcPr>
            <w:tcW w:type="dxa" w:w="16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PDF / PPTX / Tableau</w:t>
            </w:r>
          </w:p>
        </w:tc>
        <w:tc>
          <w:tcPr>
            <w:tcW w:type="dxa" w:w="22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Engagement team, client executive</w:t>
            </w:r>
          </w:p>
        </w:tc>
        <w:tc>
          <w:tcPr>
            <w:tcW w:type="dxa" w:w="18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SharePoint, Tableau Server</w:t>
            </w:r>
          </w:p>
        </w:tc>
        <w:tc>
          <w:tcPr>
            <w:tcW w:type="dxa" w:w="12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On-demand</w:t>
            </w:r>
          </w:p>
        </w:tc>
      </w:tr>
      <w:tr>
        <w:tc>
          <w:tcPr>
            <w:tcW w:type="dxa" w:w="25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Benchmark comparison report</w:t>
            </w:r>
          </w:p>
        </w:tc>
        <w:tc>
          <w:tcPr>
            <w:tcW w:type="dxa" w:w="16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PDF / Excel</w:t>
            </w:r>
          </w:p>
        </w:tc>
        <w:tc>
          <w:tcPr>
            <w:tcW w:type="dxa" w:w="22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Engagement manager, client</w:t>
            </w:r>
          </w:p>
        </w:tc>
        <w:tc>
          <w:tcPr>
            <w:tcW w:type="dxa" w:w="18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SharePoint</w:t>
            </w:r>
          </w:p>
        </w:tc>
        <w:tc>
          <w:tcPr>
            <w:tcW w:type="dxa" w:w="126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Per engagement phase</w:t>
            </w:r>
          </w:p>
        </w:tc>
      </w:tr>
      <w:tr>
        <w:tc>
          <w:tcPr>
            <w:tcW w:type="dxa" w:w="25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Executive visibility dashboard</w:t>
            </w:r>
          </w:p>
        </w:tc>
        <w:tc>
          <w:tcPr>
            <w:tcW w:type="dxa" w:w="16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Tableau / Power BI</w:t>
            </w:r>
          </w:p>
        </w:tc>
        <w:tc>
          <w:tcPr>
            <w:tcW w:type="dxa" w:w="22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Client executive team</w:t>
            </w:r>
          </w:p>
        </w:tc>
        <w:tc>
          <w:tcPr>
            <w:tcW w:type="dxa" w:w="18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Tableau Server / Power BI Service</w:t>
            </w:r>
          </w:p>
        </w:tc>
        <w:tc>
          <w:tcPr>
            <w:tcW w:type="dxa" w:w="12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Weekly refresh</w:t>
            </w:r>
          </w:p>
        </w:tc>
      </w:tr>
      <w:tr>
        <w:tc>
          <w:tcPr>
            <w:tcW w:type="dxa" w:w="25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Cost-to-serve analysis</w:t>
            </w:r>
          </w:p>
        </w:tc>
        <w:tc>
          <w:tcPr>
            <w:tcW w:type="dxa" w:w="16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Excel / PDF</w:t>
            </w:r>
          </w:p>
        </w:tc>
        <w:tc>
          <w:tcPr>
            <w:tcW w:type="dxa" w:w="22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Client CFO, engagement team</w:t>
            </w:r>
          </w:p>
        </w:tc>
        <w:tc>
          <w:tcPr>
            <w:tcW w:type="dxa" w:w="18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SharePoint</w:t>
            </w:r>
          </w:p>
        </w:tc>
        <w:tc>
          <w:tcPr>
            <w:tcW w:type="dxa" w:w="126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Per engagement phase</w:t>
            </w:r>
          </w:p>
        </w:tc>
      </w:tr>
      <w:tr>
        <w:tc>
          <w:tcPr>
            <w:tcW w:type="dxa" w:w="25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Root cause analysis report</w:t>
            </w:r>
          </w:p>
        </w:tc>
        <w:tc>
          <w:tcPr>
            <w:tcW w:type="dxa" w:w="16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PDF / PPTX</w:t>
            </w:r>
          </w:p>
        </w:tc>
        <w:tc>
          <w:tcPr>
            <w:tcW w:type="dxa" w:w="22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Engagement manager, client</w:t>
            </w:r>
          </w:p>
        </w:tc>
        <w:tc>
          <w:tcPr>
            <w:tcW w:type="dxa" w:w="18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SharePoint</w:t>
            </w:r>
          </w:p>
        </w:tc>
        <w:tc>
          <w:tcPr>
            <w:tcW w:type="dxa" w:w="12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On-demand</w:t>
            </w:r>
          </w:p>
        </w:tc>
      </w:tr>
      <w:tr>
        <w:tc>
          <w:tcPr>
            <w:tcW w:type="dxa" w:w="25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Financial impact models</w:t>
            </w:r>
          </w:p>
        </w:tc>
        <w:tc>
          <w:tcPr>
            <w:tcW w:type="dxa" w:w="16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Excel / PDF</w:t>
            </w:r>
          </w:p>
        </w:tc>
        <w:tc>
          <w:tcPr>
            <w:tcW w:type="dxa" w:w="22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Client CFO, engagement manager</w:t>
            </w:r>
          </w:p>
        </w:tc>
        <w:tc>
          <w:tcPr>
            <w:tcW w:type="dxa" w:w="18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SharePoint</w:t>
            </w:r>
          </w:p>
        </w:tc>
        <w:tc>
          <w:tcPr>
            <w:tcW w:type="dxa" w:w="126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Per recommendation</w:t>
            </w:r>
          </w:p>
        </w:tc>
      </w:tr>
      <w:tr>
        <w:tc>
          <w:tcPr>
            <w:tcW w:type="dxa" w:w="25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Weekly status report</w:t>
            </w:r>
          </w:p>
        </w:tc>
        <w:tc>
          <w:tcPr>
            <w:tcW w:type="dxa" w:w="16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PDF / PowerPoint</w:t>
            </w:r>
          </w:p>
        </w:tc>
        <w:tc>
          <w:tcPr>
            <w:tcW w:type="dxa" w:w="22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Engagement team, firm partner</w:t>
            </w:r>
          </w:p>
        </w:tc>
        <w:tc>
          <w:tcPr>
            <w:tcW w:type="dxa" w:w="18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Email / SharePoint</w:t>
            </w:r>
          </w:p>
        </w:tc>
        <w:tc>
          <w:tcPr>
            <w:tcW w:type="dxa" w:w="12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Weekly</w:t>
            </w:r>
          </w:p>
        </w:tc>
      </w:tr>
      <w:tr>
        <w:tc>
          <w:tcPr>
            <w:tcW w:type="dxa" w:w="25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Maturity scorecard</w:t>
            </w:r>
          </w:p>
        </w:tc>
        <w:tc>
          <w:tcPr>
            <w:tcW w:type="dxa" w:w="16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PDF / PPTX</w:t>
            </w:r>
          </w:p>
        </w:tc>
        <w:tc>
          <w:tcPr>
            <w:tcW w:type="dxa" w:w="22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Client executive, engagement team</w:t>
            </w:r>
          </w:p>
        </w:tc>
        <w:tc>
          <w:tcPr>
            <w:tcW w:type="dxa" w:w="18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SharePoint</w:t>
            </w:r>
          </w:p>
        </w:tc>
        <w:tc>
          <w:tcPr>
            <w:tcW w:type="dxa" w:w="126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Per assessment</w:t>
            </w:r>
          </w:p>
        </w:tc>
      </w:tr>
      <w:tr>
        <w:tc>
          <w:tcPr>
            <w:tcW w:type="dxa" w:w="25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Market intelligence digest</w:t>
            </w:r>
          </w:p>
        </w:tc>
        <w:tc>
          <w:tcPr>
            <w:tcW w:type="dxa" w:w="16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PDF / Email</w:t>
            </w:r>
          </w:p>
        </w:tc>
        <w:tc>
          <w:tcPr>
            <w:tcW w:type="dxa" w:w="22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Practice leadership</w:t>
            </w:r>
          </w:p>
        </w:tc>
        <w:tc>
          <w:tcPr>
            <w:tcW w:type="dxa" w:w="18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Email / SharePoint</w:t>
            </w:r>
          </w:p>
        </w:tc>
        <w:tc>
          <w:tcPr>
            <w:tcW w:type="dxa" w:w="12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Weekly</w:t>
            </w:r>
          </w:p>
        </w:tc>
      </w:tr>
      <w:tr>
        <w:tc>
          <w:tcPr>
            <w:tcW w:type="dxa" w:w="25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Predictive analytics outputs</w:t>
            </w:r>
          </w:p>
        </w:tc>
        <w:tc>
          <w:tcPr>
            <w:tcW w:type="dxa" w:w="16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JSON / Excel / Dashboard</w:t>
            </w:r>
          </w:p>
        </w:tc>
        <w:tc>
          <w:tcPr>
            <w:tcW w:type="dxa" w:w="22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Engagement team, client planning</w:t>
            </w:r>
          </w:p>
        </w:tc>
        <w:tc>
          <w:tcPr>
            <w:tcW w:type="dxa" w:w="18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API / Dashboard</w:t>
            </w:r>
          </w:p>
        </w:tc>
        <w:tc>
          <w:tcPr>
            <w:tcW w:type="dxa" w:w="126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Configurable</w:t>
            </w:r>
          </w:p>
        </w:tc>
      </w:tr>
      <w:tr>
        <w:tc>
          <w:tcPr>
            <w:tcW w:type="dxa" w:w="25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Board presentation</w:t>
            </w:r>
          </w:p>
        </w:tc>
        <w:tc>
          <w:tcPr>
            <w:tcW w:type="dxa" w:w="16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PPTX / PDF</w:t>
            </w:r>
          </w:p>
        </w:tc>
        <w:tc>
          <w:tcPr>
            <w:tcW w:type="dxa" w:w="22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Client board, C-suite</w:t>
            </w:r>
          </w:p>
        </w:tc>
        <w:tc>
          <w:tcPr>
            <w:tcW w:type="dxa" w:w="18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SharePoint</w:t>
            </w:r>
          </w:p>
        </w:tc>
        <w:tc>
          <w:tcPr>
            <w:tcW w:type="dxa" w:w="12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Per engagement milestone</w:t>
            </w:r>
          </w:p>
        </w:tc>
      </w:tr>
      <w:tr>
        <w:tc>
          <w:tcPr>
            <w:tcW w:type="dxa" w:w="25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Post-implementation report</w:t>
            </w:r>
          </w:p>
        </w:tc>
        <w:tc>
          <w:tcPr>
            <w:tcW w:type="dxa" w:w="16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PDF / Excel</w:t>
            </w:r>
          </w:p>
        </w:tc>
        <w:tc>
          <w:tcPr>
            <w:tcW w:type="dxa" w:w="22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Client executive, firm partner</w:t>
            </w:r>
          </w:p>
        </w:tc>
        <w:tc>
          <w:tcPr>
            <w:tcW w:type="dxa" w:w="18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SharePoint</w:t>
            </w:r>
          </w:p>
        </w:tc>
        <w:tc>
          <w:tcPr>
            <w:tcW w:type="dxa" w:w="126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Monthly (post go-live)</w:t>
            </w:r>
          </w:p>
        </w:tc>
      </w:tr>
      <w:tr>
        <w:tc>
          <w:tcPr>
            <w:tcW w:type="dxa" w:w="25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Win/loss analytics report</w:t>
            </w:r>
          </w:p>
        </w:tc>
        <w:tc>
          <w:tcPr>
            <w:tcW w:type="dxa" w:w="16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PDF / Dashboard</w:t>
            </w:r>
          </w:p>
        </w:tc>
        <w:tc>
          <w:tcPr>
            <w:tcW w:type="dxa" w:w="22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Practice leadership, BD team</w:t>
            </w:r>
          </w:p>
        </w:tc>
        <w:tc>
          <w:tcPr>
            <w:tcW w:type="dxa" w:w="18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Internal dashboard</w:t>
            </w:r>
          </w:p>
        </w:tc>
        <w:tc>
          <w:tcPr>
            <w:tcW w:type="dxa" w:w="12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Monthly</w:t>
            </w:r>
          </w:p>
        </w:tc>
      </w:tr>
    </w:tbl>
    <w:p>
      <w:r>
        <w:br w:type="page"/>
      </w:r>
    </w:p>
    <w:p>
      <w:pPr>
        <w:pStyle w:val="Heading1"/>
        <w:spacing w:after="160" w:before="400"/>
      </w:pPr>
      <w:r>
        <w:rPr>
          <w:rFonts w:ascii="Arial" w:cs="Arial" w:eastAsia="Arial" w:hAnsi="Arial"/>
          <w:b/>
          <w:bCs/>
          <w:color w:val="1B3A5C"/>
          <w:sz w:val="30"/>
          <w:szCs w:val="30"/>
        </w:rPr>
        <w:t xml:space="preserve">8  Performance Requirements</w:t>
      </w:r>
    </w:p>
    <w:p>
      <w:pPr>
        <w:pBdr>
          <w:bottom w:val="single" w:color="2E6DA4" w:sz="4" w:space="1"/>
        </w:pBdr>
        <w:spacing w:after="120" w:before="120"/>
      </w:pPr>
      <w:r>
        <w:t xml:space="preserve"/>
      </w:r>
    </w:p>
    <w:p>
      <w:pPr>
        <w:spacing w:after="0" w:before="0"/>
      </w:pPr>
      <w:r>
        <w:rPr>
          <w:sz w:val="12"/>
          <w:szCs w:val="12"/>
        </w:rPr>
        <w:t xml:space="preserve"/>
      </w:r>
    </w:p>
    <w:p>
      <w:pPr>
        <w:pStyle w:val="Heading2"/>
        <w:spacing w:after="120" w:before="300"/>
      </w:pPr>
      <w:r>
        <w:rPr>
          <w:rFonts w:ascii="Arial" w:cs="Arial" w:eastAsia="Arial" w:hAnsi="Arial"/>
          <w:b/>
          <w:bCs/>
          <w:color w:val="2E6DA4"/>
          <w:sz w:val="24"/>
          <w:szCs w:val="24"/>
        </w:rPr>
        <w:t xml:space="preserve">8.1  Throughput &amp; Latency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960"/>
      </w:tblGrid>
      <w:tr>
        <w:tc>
          <w:tcPr>
            <w:tcW w:type="dxa" w:w="3400"/>
            <w:tcBorders>
              <w:top w:val="single" w:color="C9D4DF" w:sz="1"/>
              <w:left w:val="single" w:color="C9D4DF" w:sz="1"/>
              <w:bottom w:val="single" w:color="C9D4DF" w:sz="1"/>
              <w:right w:val="single" w:color="C9D4DF"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Metric</w:t>
            </w:r>
          </w:p>
        </w:tc>
        <w:tc>
          <w:tcPr>
            <w:tcW w:type="dxa" w:w="3000"/>
            <w:tcBorders>
              <w:top w:val="single" w:color="C9D4DF" w:sz="1"/>
              <w:left w:val="single" w:color="C9D4DF" w:sz="1"/>
              <w:bottom w:val="single" w:color="C9D4DF" w:sz="1"/>
              <w:right w:val="single" w:color="C9D4DF"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Target</w:t>
            </w:r>
          </w:p>
        </w:tc>
        <w:tc>
          <w:tcPr>
            <w:tcW w:type="dxa" w:w="2960"/>
            <w:tcBorders>
              <w:top w:val="single" w:color="C9D4DF" w:sz="1"/>
              <w:left w:val="single" w:color="C9D4DF" w:sz="1"/>
              <w:bottom w:val="single" w:color="C9D4DF" w:sz="1"/>
              <w:right w:val="single" w:color="C9D4DF"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34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Full engagement data ingestion (initial load)</w:t>
            </w:r>
          </w:p>
        </w:tc>
        <w:tc>
          <w:tcPr>
            <w:tcW w:type="dxa" w:w="30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&lt;= 4 hours</w:t>
            </w:r>
          </w:p>
        </w:tc>
        <w:tc>
          <w:tcPr>
            <w:tcW w:type="dxa" w:w="29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Up to 3 years of historical data across all source systems</w:t>
            </w:r>
          </w:p>
        </w:tc>
      </w:tr>
      <w:tr>
        <w:tc>
          <w:tcPr>
            <w:tcW w:type="dxa" w:w="34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Incremental data refresh</w:t>
            </w:r>
          </w:p>
        </w:tc>
        <w:tc>
          <w:tcPr>
            <w:tcW w:type="dxa" w:w="30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&lt;= 30 minutes</w:t>
            </w:r>
          </w:p>
        </w:tc>
        <w:tc>
          <w:tcPr>
            <w:tcW w:type="dxa" w:w="296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Daily delta load from all connected source systems</w:t>
            </w:r>
          </w:p>
        </w:tc>
      </w:tr>
      <w:tr>
        <w:tc>
          <w:tcPr>
            <w:tcW w:type="dxa" w:w="34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Performance baseline computation</w:t>
            </w:r>
          </w:p>
        </w:tc>
        <w:tc>
          <w:tcPr>
            <w:tcW w:type="dxa" w:w="30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&lt;= 60 minutes</w:t>
            </w:r>
          </w:p>
        </w:tc>
        <w:tc>
          <w:tcPr>
            <w:tcW w:type="dxa" w:w="29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Complete 5-dimension baseline from conformed Silver layer</w:t>
            </w:r>
          </w:p>
        </w:tc>
      </w:tr>
      <w:tr>
        <w:tc>
          <w:tcPr>
            <w:tcW w:type="dxa" w:w="34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Dashboard render time</w:t>
            </w:r>
          </w:p>
        </w:tc>
        <w:tc>
          <w:tcPr>
            <w:tcW w:type="dxa" w:w="30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&lt;= 30 seconds</w:t>
            </w:r>
          </w:p>
        </w:tc>
        <w:tc>
          <w:tcPr>
            <w:tcW w:type="dxa" w:w="296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Interactive Tableau / Power BI dashboard initial load</w:t>
            </w:r>
          </w:p>
        </w:tc>
      </w:tr>
      <w:tr>
        <w:tc>
          <w:tcPr>
            <w:tcW w:type="dxa" w:w="34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Root cause analysis execution</w:t>
            </w:r>
          </w:p>
        </w:tc>
        <w:tc>
          <w:tcPr>
            <w:tcW w:type="dxa" w:w="30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&lt;= 15 minutes</w:t>
            </w:r>
          </w:p>
        </w:tc>
        <w:tc>
          <w:tcPr>
            <w:tcW w:type="dxa" w:w="29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Full statistical pipeline for a single performance gap</w:t>
            </w:r>
          </w:p>
        </w:tc>
      </w:tr>
      <w:tr>
        <w:tc>
          <w:tcPr>
            <w:tcW w:type="dxa" w:w="34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Financial impact model generation</w:t>
            </w:r>
          </w:p>
        </w:tc>
        <w:tc>
          <w:tcPr>
            <w:tcW w:type="dxa" w:w="30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&lt;= 5 minutes</w:t>
            </w:r>
          </w:p>
        </w:tc>
        <w:tc>
          <w:tcPr>
            <w:tcW w:type="dxa" w:w="296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Per recommendation, including scenario modeling</w:t>
            </w:r>
          </w:p>
        </w:tc>
      </w:tr>
      <w:tr>
        <w:tc>
          <w:tcPr>
            <w:tcW w:type="dxa" w:w="34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Weekly status report generation</w:t>
            </w:r>
          </w:p>
        </w:tc>
        <w:tc>
          <w:tcPr>
            <w:tcW w:type="dxa" w:w="30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&lt;= 10 minutes</w:t>
            </w:r>
          </w:p>
        </w:tc>
        <w:tc>
          <w:tcPr>
            <w:tcW w:type="dxa" w:w="29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Automated report assembly and formatting</w:t>
            </w:r>
          </w:p>
        </w:tc>
      </w:tr>
      <w:tr>
        <w:tc>
          <w:tcPr>
            <w:tcW w:type="dxa" w:w="34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Predictive model inference</w:t>
            </w:r>
          </w:p>
        </w:tc>
        <w:tc>
          <w:tcPr>
            <w:tcW w:type="dxa" w:w="30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&lt;= 60 seconds</w:t>
            </w:r>
          </w:p>
        </w:tc>
        <w:tc>
          <w:tcPr>
            <w:tcW w:type="dxa" w:w="296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Per-run inference on current feature set</w:t>
            </w:r>
          </w:p>
        </w:tc>
      </w:tr>
      <w:tr>
        <w:tc>
          <w:tcPr>
            <w:tcW w:type="dxa" w:w="34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Market intelligence digest generation</w:t>
            </w:r>
          </w:p>
        </w:tc>
        <w:tc>
          <w:tcPr>
            <w:tcW w:type="dxa" w:w="30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&lt;= 20 minutes</w:t>
            </w:r>
          </w:p>
        </w:tc>
        <w:tc>
          <w:tcPr>
            <w:tcW w:type="dxa" w:w="29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Signal ingestion through formatted output</w:t>
            </w:r>
          </w:p>
        </w:tc>
      </w:tr>
      <w:tr>
        <w:tc>
          <w:tcPr>
            <w:tcW w:type="dxa" w:w="34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Knowledge base search retrieval</w:t>
            </w:r>
          </w:p>
        </w:tc>
        <w:tc>
          <w:tcPr>
            <w:tcW w:type="dxa" w:w="30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&lt;= 3 seconds</w:t>
            </w:r>
          </w:p>
        </w:tc>
        <w:tc>
          <w:tcPr>
            <w:tcW w:type="dxa" w:w="296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P95 latency for semantic search queries</w:t>
            </w:r>
          </w:p>
        </w:tc>
      </w:tr>
    </w:tbl>
    <w:p>
      <w:pPr>
        <w:spacing w:after="0" w:before="0"/>
      </w:pPr>
      <w:r>
        <w:rPr>
          <w:sz w:val="20"/>
          <w:szCs w:val="20"/>
        </w:rPr>
        <w:t xml:space="preserve"/>
      </w:r>
    </w:p>
    <w:p>
      <w:pPr>
        <w:pStyle w:val="Heading2"/>
        <w:spacing w:after="120" w:before="300"/>
      </w:pPr>
      <w:r>
        <w:rPr>
          <w:rFonts w:ascii="Arial" w:cs="Arial" w:eastAsia="Arial" w:hAnsi="Arial"/>
          <w:b/>
          <w:bCs/>
          <w:color w:val="2E6DA4"/>
          <w:sz w:val="24"/>
          <w:szCs w:val="24"/>
        </w:rPr>
        <w:t xml:space="preserve">8.2  Availability &amp; Reliability</w:t>
      </w:r>
    </w:p>
    <w:p>
      <w:pPr>
        <w:pStyle w:val="ListParagraph"/>
        <w:numPr>
          <w:ilvl w:val="0"/>
          <w:numId w:val="2"/>
        </w:numPr>
        <w:spacing w:after="40" w:before="40"/>
      </w:pPr>
      <w:r>
        <w:rPr>
          <w:rFonts w:ascii="Arial" w:cs="Arial" w:eastAsia="Arial" w:hAnsi="Arial"/>
          <w:color w:val="1A1A1A"/>
          <w:sz w:val="20"/>
          <w:szCs w:val="20"/>
        </w:rPr>
        <w:t xml:space="preserve">Agent availability target: 99.5% uptime during business hours (Mon-Fri 06:00-22:00 ET)</w:t>
      </w:r>
    </w:p>
    <w:p>
      <w:pPr>
        <w:pStyle w:val="ListParagraph"/>
        <w:numPr>
          <w:ilvl w:val="0"/>
          <w:numId w:val="2"/>
        </w:numPr>
        <w:spacing w:after="40" w:before="40"/>
      </w:pPr>
      <w:r>
        <w:rPr>
          <w:rFonts w:ascii="Arial" w:cs="Arial" w:eastAsia="Arial" w:hAnsi="Arial"/>
          <w:color w:val="1A1A1A"/>
          <w:sz w:val="20"/>
          <w:szCs w:val="20"/>
        </w:rPr>
        <w:t xml:space="preserve">Monitoring mode (market intelligence) availability target: 99.9% continuous uptime</w:t>
      </w:r>
    </w:p>
    <w:p>
      <w:pPr>
        <w:pStyle w:val="ListParagraph"/>
        <w:numPr>
          <w:ilvl w:val="0"/>
          <w:numId w:val="2"/>
        </w:numPr>
        <w:spacing w:after="40" w:before="40"/>
      </w:pPr>
      <w:r>
        <w:rPr>
          <w:rFonts w:ascii="Arial" w:cs="Arial" w:eastAsia="Arial" w:hAnsi="Arial"/>
          <w:color w:val="1A1A1A"/>
          <w:sz w:val="20"/>
          <w:szCs w:val="20"/>
        </w:rPr>
        <w:t xml:space="preserve">All long-running jobs must implement Delta Lake checkpoint-based crash recovery with automatic retry (max 3 attempts with exponential backoff)</w:t>
      </w:r>
    </w:p>
    <w:p>
      <w:pPr>
        <w:pStyle w:val="ListParagraph"/>
        <w:numPr>
          <w:ilvl w:val="0"/>
          <w:numId w:val="2"/>
        </w:numPr>
        <w:spacing w:after="40" w:before="40"/>
      </w:pPr>
      <w:r>
        <w:rPr>
          <w:rFonts w:ascii="Arial" w:cs="Arial" w:eastAsia="Arial" w:hAnsi="Arial"/>
          <w:color w:val="1A1A1A"/>
          <w:sz w:val="20"/>
          <w:szCs w:val="20"/>
        </w:rPr>
        <w:t xml:space="preserve">Failed job artifacts must be written to a dead-letter table with structured error metadata for operational review</w:t>
      </w:r>
    </w:p>
    <w:p>
      <w:pPr>
        <w:pStyle w:val="ListParagraph"/>
        <w:numPr>
          <w:ilvl w:val="0"/>
          <w:numId w:val="2"/>
        </w:numPr>
        <w:spacing w:after="40" w:before="40"/>
      </w:pPr>
      <w:r>
        <w:rPr>
          <w:rFonts w:ascii="Arial" w:cs="Arial" w:eastAsia="Arial" w:hAnsi="Arial"/>
          <w:color w:val="1A1A1A"/>
          <w:sz w:val="20"/>
          <w:szCs w:val="20"/>
        </w:rPr>
        <w:t xml:space="preserve">Agent must support concurrent execution of up to 10 active client engagements without performance degradation</w:t>
      </w:r>
    </w:p>
    <w:p>
      <w:pPr>
        <w:spacing w:after="0" w:before="0"/>
      </w:pPr>
      <w:r>
        <w:rPr>
          <w:sz w:val="20"/>
          <w:szCs w:val="20"/>
        </w:rPr>
        <w:t xml:space="preserve"/>
      </w:r>
    </w:p>
    <w:p>
      <w:pPr>
        <w:pStyle w:val="Heading2"/>
        <w:spacing w:after="120" w:before="300"/>
      </w:pPr>
      <w:r>
        <w:rPr>
          <w:rFonts w:ascii="Arial" w:cs="Arial" w:eastAsia="Arial" w:hAnsi="Arial"/>
          <w:b/>
          <w:bCs/>
          <w:color w:val="2E6DA4"/>
          <w:sz w:val="24"/>
          <w:szCs w:val="24"/>
        </w:rPr>
        <w:t xml:space="preserve">8.3  Scalability</w:t>
      </w:r>
    </w:p>
    <w:p>
      <w:pPr>
        <w:pStyle w:val="ListParagraph"/>
        <w:numPr>
          <w:ilvl w:val="0"/>
          <w:numId w:val="2"/>
        </w:numPr>
        <w:spacing w:after="40" w:before="40"/>
      </w:pPr>
      <w:r>
        <w:rPr>
          <w:rFonts w:ascii="Arial" w:cs="Arial" w:eastAsia="Arial" w:hAnsi="Arial"/>
          <w:color w:val="1A1A1A"/>
          <w:sz w:val="20"/>
          <w:szCs w:val="20"/>
        </w:rPr>
        <w:t xml:space="preserve">Data processing pipelines must scale horizontally via Databricks cluster autoscaling; no hard-coded cluster size assumptions</w:t>
      </w:r>
    </w:p>
    <w:p>
      <w:pPr>
        <w:pStyle w:val="ListParagraph"/>
        <w:numPr>
          <w:ilvl w:val="0"/>
          <w:numId w:val="2"/>
        </w:numPr>
        <w:spacing w:after="40" w:before="40"/>
      </w:pPr>
      <w:r>
        <w:rPr>
          <w:rFonts w:ascii="Arial" w:cs="Arial" w:eastAsia="Arial" w:hAnsi="Arial"/>
          <w:color w:val="1A1A1A"/>
          <w:sz w:val="20"/>
          <w:szCs w:val="20"/>
        </w:rPr>
        <w:t xml:space="preserve">Knowledge base must support storage of up to 500 completed engagement datasets without redesign</w:t>
      </w:r>
    </w:p>
    <w:p>
      <w:pPr>
        <w:pStyle w:val="ListParagraph"/>
        <w:numPr>
          <w:ilvl w:val="0"/>
          <w:numId w:val="2"/>
        </w:numPr>
        <w:spacing w:after="40" w:before="40"/>
      </w:pPr>
      <w:r>
        <w:rPr>
          <w:rFonts w:ascii="Arial" w:cs="Arial" w:eastAsia="Arial" w:hAnsi="Arial"/>
          <w:color w:val="1A1A1A"/>
          <w:sz w:val="20"/>
          <w:szCs w:val="20"/>
        </w:rPr>
        <w:t xml:space="preserve">Predictive model training must complete within 2 hours for datasets up to 10M rows using distributed Spark ML</w:t>
      </w:r>
    </w:p>
    <w:p>
      <w:r>
        <w:br w:type="page"/>
      </w:r>
    </w:p>
    <w:p>
      <w:pPr>
        <w:pStyle w:val="Heading1"/>
        <w:spacing w:after="160" w:before="400"/>
      </w:pPr>
      <w:r>
        <w:rPr>
          <w:rFonts w:ascii="Arial" w:cs="Arial" w:eastAsia="Arial" w:hAnsi="Arial"/>
          <w:b/>
          <w:bCs/>
          <w:color w:val="1B3A5C"/>
          <w:sz w:val="30"/>
          <w:szCs w:val="30"/>
        </w:rPr>
        <w:t xml:space="preserve">9  Security &amp; Compliance</w:t>
      </w:r>
    </w:p>
    <w:p>
      <w:pPr>
        <w:pBdr>
          <w:bottom w:val="single" w:color="2E6DA4" w:sz="4" w:space="1"/>
        </w:pBdr>
        <w:spacing w:after="120" w:before="120"/>
      </w:pPr>
      <w:r>
        <w:t xml:space="preserve"/>
      </w:r>
    </w:p>
    <w:p>
      <w:pPr>
        <w:spacing w:after="0" w:before="0"/>
      </w:pPr>
      <w:r>
        <w:rPr>
          <w:sz w:val="12"/>
          <w:szCs w:val="12"/>
        </w:rPr>
        <w:t xml:space="preserve"/>
      </w:r>
    </w:p>
    <w:p>
      <w:pPr>
        <w:pStyle w:val="Heading2"/>
        <w:spacing w:after="120" w:before="300"/>
      </w:pPr>
      <w:r>
        <w:rPr>
          <w:rFonts w:ascii="Arial" w:cs="Arial" w:eastAsia="Arial" w:hAnsi="Arial"/>
          <w:b/>
          <w:bCs/>
          <w:color w:val="2E6DA4"/>
          <w:sz w:val="24"/>
          <w:szCs w:val="24"/>
        </w:rPr>
        <w:t xml:space="preserve">9.1  Data Security Requirements</w:t>
      </w:r>
    </w:p>
    <w:p>
      <w:pPr>
        <w:pStyle w:val="ListParagraph"/>
        <w:numPr>
          <w:ilvl w:val="0"/>
          <w:numId w:val="2"/>
        </w:numPr>
        <w:spacing w:after="40" w:before="40"/>
      </w:pPr>
      <w:r>
        <w:rPr>
          <w:rFonts w:ascii="Arial" w:cs="Arial" w:eastAsia="Arial" w:hAnsi="Arial"/>
          <w:color w:val="1A1A1A"/>
          <w:sz w:val="20"/>
          <w:szCs w:val="20"/>
        </w:rPr>
        <w:t xml:space="preserve">All client data must be logically isolated by engagement using Unity Catalog schema-level access controls; cross-client data access is prohibited</w:t>
      </w:r>
    </w:p>
    <w:p>
      <w:pPr>
        <w:pStyle w:val="ListParagraph"/>
        <w:numPr>
          <w:ilvl w:val="0"/>
          <w:numId w:val="2"/>
        </w:numPr>
        <w:spacing w:after="40" w:before="40"/>
      </w:pPr>
      <w:r>
        <w:rPr>
          <w:rFonts w:ascii="Arial" w:cs="Arial" w:eastAsia="Arial" w:hAnsi="Arial"/>
          <w:color w:val="1A1A1A"/>
          <w:sz w:val="20"/>
          <w:szCs w:val="20"/>
        </w:rPr>
        <w:t xml:space="preserve">Credentials for all source system connectors stored exclusively in Azure Key Vault; plaintext credentials in code or configuration files are a critical violation</w:t>
      </w:r>
    </w:p>
    <w:p>
      <w:pPr>
        <w:pStyle w:val="ListParagraph"/>
        <w:numPr>
          <w:ilvl w:val="0"/>
          <w:numId w:val="2"/>
        </w:numPr>
        <w:spacing w:after="40" w:before="40"/>
      </w:pPr>
      <w:r>
        <w:rPr>
          <w:rFonts w:ascii="Arial" w:cs="Arial" w:eastAsia="Arial" w:hAnsi="Arial"/>
          <w:color w:val="1A1A1A"/>
          <w:sz w:val="20"/>
          <w:szCs w:val="20"/>
        </w:rPr>
        <w:t xml:space="preserve">Data in transit encrypted with TLS 1.3 minimum; data at rest encrypted with AES-256</w:t>
      </w:r>
    </w:p>
    <w:p>
      <w:pPr>
        <w:pStyle w:val="ListParagraph"/>
        <w:numPr>
          <w:ilvl w:val="0"/>
          <w:numId w:val="2"/>
        </w:numPr>
        <w:spacing w:after="40" w:before="40"/>
      </w:pPr>
      <w:r>
        <w:rPr>
          <w:rFonts w:ascii="Arial" w:cs="Arial" w:eastAsia="Arial" w:hAnsi="Arial"/>
          <w:color w:val="1A1A1A"/>
          <w:sz w:val="20"/>
          <w:szCs w:val="20"/>
        </w:rPr>
        <w:t xml:space="preserve">All data access events logged to Azure Monitor; audit logs retained for minimum 7 years</w:t>
      </w:r>
    </w:p>
    <w:p>
      <w:pPr>
        <w:pStyle w:val="ListParagraph"/>
        <w:numPr>
          <w:ilvl w:val="0"/>
          <w:numId w:val="2"/>
        </w:numPr>
        <w:spacing w:after="40" w:before="40"/>
      </w:pPr>
      <w:r>
        <w:rPr>
          <w:rFonts w:ascii="Arial" w:cs="Arial" w:eastAsia="Arial" w:hAnsi="Arial"/>
          <w:color w:val="1A1A1A"/>
          <w:sz w:val="20"/>
          <w:szCs w:val="20"/>
        </w:rPr>
        <w:t xml:space="preserve">Role-based access control (RBAC) enforced: Engagement Analyst, Engagement Manager, Practice Partner, Platform Administrator roles with least-privilege access grants</w:t>
      </w:r>
    </w:p>
    <w:p>
      <w:pPr>
        <w:spacing w:after="0" w:before="0"/>
      </w:pPr>
      <w:r>
        <w:rPr>
          <w:sz w:val="20"/>
          <w:szCs w:val="20"/>
        </w:rPr>
        <w:t xml:space="preserve"/>
      </w:r>
    </w:p>
    <w:p>
      <w:pPr>
        <w:pStyle w:val="Heading2"/>
        <w:spacing w:after="120" w:before="300"/>
      </w:pPr>
      <w:r>
        <w:rPr>
          <w:rFonts w:ascii="Arial" w:cs="Arial" w:eastAsia="Arial" w:hAnsi="Arial"/>
          <w:b/>
          <w:bCs/>
          <w:color w:val="2E6DA4"/>
          <w:sz w:val="24"/>
          <w:szCs w:val="24"/>
        </w:rPr>
        <w:t xml:space="preserve">9.2  Client Data Governance</w:t>
      </w:r>
    </w:p>
    <w:p>
      <w:pPr>
        <w:pStyle w:val="ListParagraph"/>
        <w:numPr>
          <w:ilvl w:val="0"/>
          <w:numId w:val="2"/>
        </w:numPr>
        <w:spacing w:after="40" w:before="40"/>
      </w:pPr>
      <w:r>
        <w:rPr>
          <w:rFonts w:ascii="Arial" w:cs="Arial" w:eastAsia="Arial" w:hAnsi="Arial"/>
          <w:color w:val="1A1A1A"/>
          <w:sz w:val="20"/>
          <w:szCs w:val="20"/>
        </w:rPr>
        <w:t xml:space="preserve">Client data ingested into AGT-16 is subject to the data governance terms of the applicable Master Service Agreement; the agent must enforce permitted-use controls</w:t>
      </w:r>
    </w:p>
    <w:p>
      <w:pPr>
        <w:pStyle w:val="ListParagraph"/>
        <w:numPr>
          <w:ilvl w:val="0"/>
          <w:numId w:val="2"/>
        </w:numPr>
        <w:spacing w:after="40" w:before="40"/>
      </w:pPr>
      <w:r>
        <w:rPr>
          <w:rFonts w:ascii="Arial" w:cs="Arial" w:eastAsia="Arial" w:hAnsi="Arial"/>
          <w:color w:val="1A1A1A"/>
          <w:sz w:val="20"/>
          <w:szCs w:val="20"/>
        </w:rPr>
        <w:t xml:space="preserve">Post-engagement anonymization protocol must execute within 30 days of engagement close; anonymized data may be retained in the firm knowledge base indefinitely</w:t>
      </w:r>
    </w:p>
    <w:p>
      <w:pPr>
        <w:pStyle w:val="ListParagraph"/>
        <w:numPr>
          <w:ilvl w:val="0"/>
          <w:numId w:val="2"/>
        </w:numPr>
        <w:spacing w:after="40" w:before="40"/>
      </w:pPr>
      <w:r>
        <w:rPr>
          <w:rFonts w:ascii="Arial" w:cs="Arial" w:eastAsia="Arial" w:hAnsi="Arial"/>
          <w:color w:val="1A1A1A"/>
          <w:sz w:val="20"/>
          <w:szCs w:val="20"/>
        </w:rPr>
        <w:t xml:space="preserve">Client data must not be used to train firm-wide ML models without explicit client data consent documentation on file</w:t>
      </w:r>
    </w:p>
    <w:p>
      <w:pPr>
        <w:pStyle w:val="ListParagraph"/>
        <w:numPr>
          <w:ilvl w:val="0"/>
          <w:numId w:val="2"/>
        </w:numPr>
        <w:spacing w:after="40" w:before="40"/>
      </w:pPr>
      <w:r>
        <w:rPr>
          <w:rFonts w:ascii="Arial" w:cs="Arial" w:eastAsia="Arial" w:hAnsi="Arial"/>
          <w:color w:val="1A1A1A"/>
          <w:sz w:val="20"/>
          <w:szCs w:val="20"/>
        </w:rPr>
        <w:t xml:space="preserve">Data residency must comply with client contractual requirements; US-domiciled clients default to Azure East US 2; international client requirements addressed case-by-case</w:t>
      </w:r>
    </w:p>
    <w:p>
      <w:pPr>
        <w:spacing w:after="0" w:before="0"/>
      </w:pPr>
      <w:r>
        <w:rPr>
          <w:sz w:val="20"/>
          <w:szCs w:val="20"/>
        </w:rPr>
        <w:t xml:space="preserve"/>
      </w:r>
    </w:p>
    <w:p>
      <w:pPr>
        <w:pStyle w:val="Heading2"/>
        <w:spacing w:after="120" w:before="300"/>
      </w:pPr>
      <w:r>
        <w:rPr>
          <w:rFonts w:ascii="Arial" w:cs="Arial" w:eastAsia="Arial" w:hAnsi="Arial"/>
          <w:b/>
          <w:bCs/>
          <w:color w:val="2E6DA4"/>
          <w:sz w:val="24"/>
          <w:szCs w:val="24"/>
        </w:rPr>
        <w:t xml:space="preserve">9.3  Regulatory Compliance</w:t>
      </w:r>
    </w:p>
    <w:p>
      <w:pPr>
        <w:pStyle w:val="ListParagraph"/>
        <w:numPr>
          <w:ilvl w:val="0"/>
          <w:numId w:val="2"/>
        </w:numPr>
        <w:spacing w:after="40" w:before="40"/>
      </w:pPr>
      <w:r>
        <w:rPr>
          <w:rFonts w:ascii="Arial" w:cs="Arial" w:eastAsia="Arial" w:hAnsi="Arial"/>
          <w:color w:val="1A1A1A"/>
          <w:sz w:val="20"/>
          <w:szCs w:val="20"/>
        </w:rPr>
        <w:t xml:space="preserve">SOC 2 Type II controls must be maintained for all data processing activities; AGT-16 is within scope of the firm's annual SOC 2 audit</w:t>
      </w:r>
    </w:p>
    <w:p>
      <w:pPr>
        <w:pStyle w:val="ListParagraph"/>
        <w:numPr>
          <w:ilvl w:val="0"/>
          <w:numId w:val="2"/>
        </w:numPr>
        <w:spacing w:after="40" w:before="40"/>
      </w:pPr>
      <w:r>
        <w:rPr>
          <w:rFonts w:ascii="Arial" w:cs="Arial" w:eastAsia="Arial" w:hAnsi="Arial"/>
          <w:color w:val="1A1A1A"/>
          <w:sz w:val="20"/>
          <w:szCs w:val="20"/>
        </w:rPr>
        <w:t xml:space="preserve">GDPR: Any engagement data from EU-based clients must be processed under the firm's Standard Contractual Clauses; right-to-erasure requests must be executable within 72 hours</w:t>
      </w:r>
    </w:p>
    <w:p>
      <w:pPr>
        <w:pStyle w:val="ListParagraph"/>
        <w:numPr>
          <w:ilvl w:val="0"/>
          <w:numId w:val="2"/>
        </w:numPr>
        <w:spacing w:after="40" w:before="40"/>
      </w:pPr>
      <w:r>
        <w:rPr>
          <w:rFonts w:ascii="Arial" w:cs="Arial" w:eastAsia="Arial" w:hAnsi="Arial"/>
          <w:color w:val="1A1A1A"/>
          <w:sz w:val="20"/>
          <w:szCs w:val="20"/>
        </w:rPr>
        <w:t xml:space="preserve">CCPA: California client data subject to CCPA must be tracked and deletable on demand</w:t>
      </w:r>
    </w:p>
    <w:p>
      <w:pPr>
        <w:pStyle w:val="ListParagraph"/>
        <w:numPr>
          <w:ilvl w:val="0"/>
          <w:numId w:val="2"/>
        </w:numPr>
        <w:spacing w:after="40" w:before="40"/>
      </w:pPr>
      <w:r>
        <w:rPr>
          <w:rFonts w:ascii="Arial" w:cs="Arial" w:eastAsia="Arial" w:hAnsi="Arial"/>
          <w:color w:val="1A1A1A"/>
          <w:sz w:val="20"/>
          <w:szCs w:val="20"/>
        </w:rPr>
        <w:t xml:space="preserve">Export controls: No export-controlled supply chain data (ITAR, EAR) may be processed in AGT-16 without a documented export control review and appropriate system configuration</w:t>
      </w:r>
    </w:p>
    <w:p>
      <w:r>
        <w:br w:type="page"/>
      </w:r>
    </w:p>
    <w:p>
      <w:pPr>
        <w:pStyle w:val="Heading1"/>
        <w:spacing w:after="160" w:before="400"/>
      </w:pPr>
      <w:r>
        <w:rPr>
          <w:rFonts w:ascii="Arial" w:cs="Arial" w:eastAsia="Arial" w:hAnsi="Arial"/>
          <w:b/>
          <w:bCs/>
          <w:color w:val="1B3A5C"/>
          <w:sz w:val="30"/>
          <w:szCs w:val="30"/>
        </w:rPr>
        <w:t xml:space="preserve">10  Dependency Map</w:t>
      </w:r>
    </w:p>
    <w:p>
      <w:pPr>
        <w:pBdr>
          <w:bottom w:val="single" w:color="2E6DA4" w:sz="4" w:space="1"/>
        </w:pBdr>
        <w:spacing w:after="120" w:before="120"/>
      </w:pPr>
      <w:r>
        <w:t xml:space="preserve"/>
      </w:r>
    </w:p>
    <w:p>
      <w:pPr>
        <w:spacing w:after="0" w:before="0"/>
      </w:pPr>
      <w:r>
        <w:rPr>
          <w:sz w:val="12"/>
          <w:szCs w:val="12"/>
        </w:rPr>
        <w:t xml:space="preserve"/>
      </w:r>
    </w:p>
    <w:p>
      <w:pPr>
        <w:pStyle w:val="Heading2"/>
        <w:spacing w:after="120" w:before="300"/>
      </w:pPr>
      <w:r>
        <w:rPr>
          <w:rFonts w:ascii="Arial" w:cs="Arial" w:eastAsia="Arial" w:hAnsi="Arial"/>
          <w:b/>
          <w:bCs/>
          <w:color w:val="2E6DA4"/>
          <w:sz w:val="24"/>
          <w:szCs w:val="24"/>
        </w:rPr>
        <w:t xml:space="preserve">10.1  Internal Agent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9D4DF" w:sz="1"/>
              <w:left w:val="single" w:color="C9D4DF" w:sz="1"/>
              <w:bottom w:val="single" w:color="C9D4DF" w:sz="1"/>
              <w:right w:val="single" w:color="C9D4DF"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Agent ID</w:t>
            </w:r>
          </w:p>
        </w:tc>
        <w:tc>
          <w:tcPr>
            <w:tcW w:type="dxa" w:w="3000"/>
            <w:tcBorders>
              <w:top w:val="single" w:color="C9D4DF" w:sz="1"/>
              <w:left w:val="single" w:color="C9D4DF" w:sz="1"/>
              <w:bottom w:val="single" w:color="C9D4DF" w:sz="1"/>
              <w:right w:val="single" w:color="C9D4DF"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Agent Name</w:t>
            </w:r>
          </w:p>
        </w:tc>
        <w:tc>
          <w:tcPr>
            <w:tcW w:type="dxa" w:w="4560"/>
            <w:tcBorders>
              <w:top w:val="single" w:color="C9D4DF" w:sz="1"/>
              <w:left w:val="single" w:color="C9D4DF" w:sz="1"/>
              <w:bottom w:val="single" w:color="C9D4DF" w:sz="1"/>
              <w:right w:val="single" w:color="C9D4DF"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Dependency Nature</w:t>
            </w:r>
          </w:p>
        </w:tc>
      </w:tr>
      <w:tr>
        <w:tc>
          <w:tcPr>
            <w:tcW w:type="dxa" w:w="18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AGT-00</w:t>
            </w:r>
          </w:p>
        </w:tc>
        <w:tc>
          <w:tcPr>
            <w:tcW w:type="dxa" w:w="30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Digital Workforce Orchestrator</w:t>
            </w:r>
          </w:p>
        </w:tc>
        <w:tc>
          <w:tcPr>
            <w:tcW w:type="dxa" w:w="45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Task routing, job scheduling, inter-agent messaging, health monitoring, and escalation management</w:t>
            </w:r>
          </w:p>
        </w:tc>
      </w:tr>
      <w:tr>
        <w:tc>
          <w:tcPr>
            <w:tcW w:type="dxa" w:w="18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AGT-02</w:t>
            </w:r>
          </w:p>
        </w:tc>
        <w:tc>
          <w:tcPr>
            <w:tcW w:type="dxa" w:w="30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Data Engineering Agent (if deployed)</w:t>
            </w:r>
          </w:p>
        </w:tc>
        <w:tc>
          <w:tcPr>
            <w:tcW w:type="dxa" w:w="456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Upstream data pipeline orchestration; AGT-16 may delegate complex ETL to AGT-02 for large-scale ingestion tasks</w:t>
            </w:r>
          </w:p>
        </w:tc>
      </w:tr>
      <w:tr>
        <w:tc>
          <w:tcPr>
            <w:tcW w:type="dxa" w:w="18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AGT-05</w:t>
            </w:r>
          </w:p>
        </w:tc>
        <w:tc>
          <w:tcPr>
            <w:tcW w:type="dxa" w:w="30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Financial Modeling Agent (if deployed)</w:t>
            </w:r>
          </w:p>
        </w:tc>
        <w:tc>
          <w:tcPr>
            <w:tcW w:type="dxa" w:w="45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Downstream consumer of AGT-16 financial impact models; may supply treasury cost-of-capital data</w:t>
            </w:r>
          </w:p>
        </w:tc>
      </w:tr>
      <w:tr>
        <w:tc>
          <w:tcPr>
            <w:tcW w:type="dxa" w:w="18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AGT-12</w:t>
            </w:r>
          </w:p>
        </w:tc>
        <w:tc>
          <w:tcPr>
            <w:tcW w:type="dxa" w:w="30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Client Reporting Agent (if deployed)</w:t>
            </w:r>
          </w:p>
        </w:tc>
        <w:tc>
          <w:tcPr>
            <w:tcW w:type="dxa" w:w="456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Downstream consumer of AGT-16 exhibit packages and KPI data for report assembly</w:t>
            </w:r>
          </w:p>
        </w:tc>
      </w:tr>
    </w:tbl>
    <w:p>
      <w:pPr>
        <w:spacing w:after="0" w:before="0"/>
      </w:pPr>
      <w:r>
        <w:rPr>
          <w:sz w:val="20"/>
          <w:szCs w:val="20"/>
        </w:rPr>
        <w:t xml:space="preserve"/>
      </w:r>
    </w:p>
    <w:p>
      <w:pPr>
        <w:pStyle w:val="Heading2"/>
        <w:spacing w:after="120" w:before="300"/>
      </w:pPr>
      <w:r>
        <w:rPr>
          <w:rFonts w:ascii="Arial" w:cs="Arial" w:eastAsia="Arial" w:hAnsi="Arial"/>
          <w:b/>
          <w:bCs/>
          <w:color w:val="2E6DA4"/>
          <w:sz w:val="24"/>
          <w:szCs w:val="24"/>
        </w:rPr>
        <w:t xml:space="preserve">10.2  External System Dependencies</w:t>
      </w:r>
    </w:p>
    <w:p>
      <w:pPr>
        <w:pStyle w:val="ListParagraph"/>
        <w:numPr>
          <w:ilvl w:val="0"/>
          <w:numId w:val="2"/>
        </w:numPr>
        <w:spacing w:after="40" w:before="40"/>
      </w:pPr>
      <w:r>
        <w:rPr>
          <w:rFonts w:ascii="Arial" w:cs="Arial" w:eastAsia="Arial" w:hAnsi="Arial"/>
          <w:color w:val="1A1A1A"/>
          <w:sz w:val="20"/>
          <w:szCs w:val="20"/>
        </w:rPr>
        <w:t xml:space="preserve">Azure Databricks workspace: compute, Delta Lake storage, Unity Catalog, MLflow</w:t>
      </w:r>
    </w:p>
    <w:p>
      <w:pPr>
        <w:pStyle w:val="ListParagraph"/>
        <w:numPr>
          <w:ilvl w:val="0"/>
          <w:numId w:val="2"/>
        </w:numPr>
        <w:spacing w:after="40" w:before="40"/>
      </w:pPr>
      <w:r>
        <w:rPr>
          <w:rFonts w:ascii="Arial" w:cs="Arial" w:eastAsia="Arial" w:hAnsi="Arial"/>
          <w:color w:val="1A1A1A"/>
          <w:sz w:val="20"/>
          <w:szCs w:val="20"/>
        </w:rPr>
        <w:t xml:space="preserve">Snowflake: firm knowledge base warehouse and cross-engagement analytics</w:t>
      </w:r>
    </w:p>
    <w:p>
      <w:pPr>
        <w:pStyle w:val="ListParagraph"/>
        <w:numPr>
          <w:ilvl w:val="0"/>
          <w:numId w:val="2"/>
        </w:numPr>
        <w:spacing w:after="40" w:before="40"/>
      </w:pPr>
      <w:r>
        <w:rPr>
          <w:rFonts w:ascii="Arial" w:cs="Arial" w:eastAsia="Arial" w:hAnsi="Arial"/>
          <w:color w:val="1A1A1A"/>
          <w:sz w:val="20"/>
          <w:szCs w:val="20"/>
        </w:rPr>
        <w:t xml:space="preserve">Azure Key Vault: secrets management for all connector credentials</w:t>
      </w:r>
    </w:p>
    <w:p>
      <w:pPr>
        <w:pStyle w:val="ListParagraph"/>
        <w:numPr>
          <w:ilvl w:val="0"/>
          <w:numId w:val="2"/>
        </w:numPr>
        <w:spacing w:after="40" w:before="40"/>
      </w:pPr>
      <w:r>
        <w:rPr>
          <w:rFonts w:ascii="Arial" w:cs="Arial" w:eastAsia="Arial" w:hAnsi="Arial"/>
          <w:color w:val="1A1A1A"/>
          <w:sz w:val="20"/>
          <w:szCs w:val="20"/>
        </w:rPr>
        <w:t xml:space="preserve">Tableau Server / Power BI Service: dashboard publishing and client access</w:t>
      </w:r>
    </w:p>
    <w:p>
      <w:pPr>
        <w:pStyle w:val="ListParagraph"/>
        <w:numPr>
          <w:ilvl w:val="0"/>
          <w:numId w:val="2"/>
        </w:numPr>
        <w:spacing w:after="40" w:before="40"/>
      </w:pPr>
      <w:r>
        <w:rPr>
          <w:rFonts w:ascii="Arial" w:cs="Arial" w:eastAsia="Arial" w:hAnsi="Arial"/>
          <w:color w:val="1A1A1A"/>
          <w:sz w:val="20"/>
          <w:szCs w:val="20"/>
        </w:rPr>
        <w:t xml:space="preserve">Gartner API / Hackett Group data service: benchmark data sourcing (firm license required)</w:t>
      </w:r>
    </w:p>
    <w:p>
      <w:pPr>
        <w:pStyle w:val="ListParagraph"/>
        <w:numPr>
          <w:ilvl w:val="0"/>
          <w:numId w:val="2"/>
        </w:numPr>
        <w:spacing w:after="40" w:before="40"/>
      </w:pPr>
      <w:r>
        <w:rPr>
          <w:rFonts w:ascii="Arial" w:cs="Arial" w:eastAsia="Arial" w:hAnsi="Arial"/>
          <w:color w:val="1A1A1A"/>
          <w:sz w:val="20"/>
          <w:szCs w:val="20"/>
        </w:rPr>
        <w:t xml:space="preserve">Client ERP / WMS / TMS / Planning / Procurement systems: source data (per-engagement connectivity)</w:t>
      </w:r>
    </w:p>
    <w:p>
      <w:pPr>
        <w:pStyle w:val="ListParagraph"/>
        <w:numPr>
          <w:ilvl w:val="0"/>
          <w:numId w:val="2"/>
        </w:numPr>
        <w:spacing w:after="40" w:before="40"/>
      </w:pPr>
      <w:r>
        <w:rPr>
          <w:rFonts w:ascii="Arial" w:cs="Arial" w:eastAsia="Arial" w:hAnsi="Arial"/>
          <w:color w:val="1A1A1A"/>
          <w:sz w:val="20"/>
          <w:szCs w:val="20"/>
        </w:rPr>
        <w:t xml:space="preserve">Microsoft SharePoint: deliverable storage and client document sharing</w:t>
      </w:r>
    </w:p>
    <w:p>
      <w:pPr>
        <w:pStyle w:val="ListParagraph"/>
        <w:numPr>
          <w:ilvl w:val="0"/>
          <w:numId w:val="2"/>
        </w:numPr>
        <w:spacing w:after="40" w:before="40"/>
      </w:pPr>
      <w:r>
        <w:rPr>
          <w:rFonts w:ascii="Arial" w:cs="Arial" w:eastAsia="Arial" w:hAnsi="Arial"/>
          <w:color w:val="1A1A1A"/>
          <w:sz w:val="20"/>
          <w:szCs w:val="20"/>
        </w:rPr>
        <w:t xml:space="preserve">Azure Monitor / Log Analytics: operational logging, alerting, and audit trail</w:t>
      </w:r>
    </w:p>
    <w:p>
      <w:r>
        <w:br w:type="page"/>
      </w:r>
    </w:p>
    <w:p>
      <w:pPr>
        <w:pStyle w:val="Heading1"/>
        <w:spacing w:after="160" w:before="400"/>
      </w:pPr>
      <w:r>
        <w:rPr>
          <w:rFonts w:ascii="Arial" w:cs="Arial" w:eastAsia="Arial" w:hAnsi="Arial"/>
          <w:b/>
          <w:bCs/>
          <w:color w:val="1B3A5C"/>
          <w:sz w:val="30"/>
          <w:szCs w:val="30"/>
        </w:rPr>
        <w:t xml:space="preserve">11  Acceptance Criteria</w:t>
      </w:r>
    </w:p>
    <w:p>
      <w:pPr>
        <w:pBdr>
          <w:bottom w:val="single" w:color="2E6DA4" w:sz="4" w:space="1"/>
        </w:pBdr>
        <w:spacing w:after="120" w:before="120"/>
      </w:pPr>
      <w:r>
        <w:t xml:space="preserve"/>
      </w:r>
    </w:p>
    <w:p>
      <w:pPr>
        <w:spacing w:after="0" w:before="0"/>
      </w:pPr>
      <w:r>
        <w:rPr>
          <w:sz w:val="12"/>
          <w:szCs w:val="12"/>
        </w:rPr>
        <w:t xml:space="preserve"/>
      </w:r>
    </w:p>
    <w:p>
      <w:pPr>
        <w:spacing w:after="60" w:before="60"/>
      </w:pPr>
      <w:r>
        <w:rPr>
          <w:rFonts w:ascii="Arial" w:cs="Arial" w:eastAsia="Arial" w:hAnsi="Arial"/>
          <w:color w:val="1A1A1A"/>
          <w:sz w:val="20"/>
          <w:szCs w:val="20"/>
        </w:rPr>
        <w:t xml:space="preserve">The following acceptance criteria govern formal sign-off for AGT-16. All criteria must be met in the designated test environment before progression to production deployment. UAT sign-off required from: Engagement Practice Partner, Platform Engineering Lead, and Information Security.</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7260"/>
      </w:tblGrid>
      <w:tr>
        <w:tc>
          <w:tcPr>
            <w:tcW w:type="dxa" w:w="900"/>
            <w:tcBorders>
              <w:top w:val="single" w:color="C9D4DF" w:sz="1"/>
              <w:left w:val="single" w:color="C9D4DF" w:sz="1"/>
              <w:bottom w:val="single" w:color="C9D4DF" w:sz="1"/>
              <w:right w:val="single" w:color="C9D4DF"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AC ID</w:t>
            </w:r>
          </w:p>
        </w:tc>
        <w:tc>
          <w:tcPr>
            <w:tcW w:type="dxa" w:w="1200"/>
            <w:tcBorders>
              <w:top w:val="single" w:color="C9D4DF" w:sz="1"/>
              <w:left w:val="single" w:color="C9D4DF" w:sz="1"/>
              <w:bottom w:val="single" w:color="C9D4DF" w:sz="1"/>
              <w:right w:val="single" w:color="C9D4DF"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Req. Ref</w:t>
            </w:r>
          </w:p>
        </w:tc>
        <w:tc>
          <w:tcPr>
            <w:tcW w:type="dxa" w:w="7260"/>
            <w:tcBorders>
              <w:top w:val="single" w:color="C9D4DF" w:sz="1"/>
              <w:left w:val="single" w:color="C9D4DF" w:sz="1"/>
              <w:bottom w:val="single" w:color="C9D4DF" w:sz="1"/>
              <w:right w:val="single" w:color="C9D4DF"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Acceptance Criterion</w:t>
            </w:r>
          </w:p>
        </w:tc>
      </w:tr>
      <w:tr>
        <w:tc>
          <w:tcPr>
            <w:tcW w:type="dxa" w:w="9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AC-01</w:t>
            </w:r>
          </w:p>
        </w:tc>
        <w:tc>
          <w:tcPr>
            <w:tcW w:type="dxa" w:w="12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FR-01</w:t>
            </w:r>
          </w:p>
        </w:tc>
        <w:tc>
          <w:tcPr>
            <w:tcW w:type="dxa" w:w="72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Data integration pipeline successfully ingests test datasets from all five source system types (ERP, WMS, TMS, Planning, Procurement) with data quality gate passage rate &gt;= 95%</w:t>
            </w:r>
          </w:p>
        </w:tc>
      </w:tr>
      <w:tr>
        <w:tc>
          <w:tcPr>
            <w:tcW w:type="dxa" w:w="9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AC-02</w:t>
            </w:r>
          </w:p>
        </w:tc>
        <w:tc>
          <w:tcPr>
            <w:tcW w:type="dxa" w:w="12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FR-02</w:t>
            </w:r>
          </w:p>
        </w:tc>
        <w:tc>
          <w:tcPr>
            <w:tcW w:type="dxa" w:w="726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Performance baseline computation produces all five KPI dimensions (cost, service, inventory, quality, resilience) with completeness &gt;= 95% on synthetic engagement dataset</w:t>
            </w:r>
          </w:p>
        </w:tc>
      </w:tr>
      <w:tr>
        <w:tc>
          <w:tcPr>
            <w:tcW w:type="dxa" w:w="9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AC-03</w:t>
            </w:r>
          </w:p>
        </w:tc>
        <w:tc>
          <w:tcPr>
            <w:tcW w:type="dxa" w:w="12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FR-04</w:t>
            </w:r>
          </w:p>
        </w:tc>
        <w:tc>
          <w:tcPr>
            <w:tcW w:type="dxa" w:w="72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Benchmark comparison report correctly maps client KPIs to Gartner and Hackett peer group benchmarks with statistically valid gap quantification</w:t>
            </w:r>
          </w:p>
        </w:tc>
      </w:tr>
      <w:tr>
        <w:tc>
          <w:tcPr>
            <w:tcW w:type="dxa" w:w="9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AC-04</w:t>
            </w:r>
          </w:p>
        </w:tc>
        <w:tc>
          <w:tcPr>
            <w:tcW w:type="dxa" w:w="12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FR-05</w:t>
            </w:r>
          </w:p>
        </w:tc>
        <w:tc>
          <w:tcPr>
            <w:tcW w:type="dxa" w:w="726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Cost-to-serve analysis produces landed cost decomposition by customer, channel, and product with variance &lt;= 0.5% vs. manually validated control total</w:t>
            </w:r>
          </w:p>
        </w:tc>
      </w:tr>
      <w:tr>
        <w:tc>
          <w:tcPr>
            <w:tcW w:type="dxa" w:w="9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AC-05</w:t>
            </w:r>
          </w:p>
        </w:tc>
        <w:tc>
          <w:tcPr>
            <w:tcW w:type="dxa" w:w="12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FR-06</w:t>
            </w:r>
          </w:p>
        </w:tc>
        <w:tc>
          <w:tcPr>
            <w:tcW w:type="dxa" w:w="72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Root cause analysis engine correctly identifies injected anomalies in synthetic performance dataset with precision &gt;= 85% and false positive rate &lt;= 5%</w:t>
            </w:r>
          </w:p>
        </w:tc>
      </w:tr>
      <w:tr>
        <w:tc>
          <w:tcPr>
            <w:tcW w:type="dxa" w:w="9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AC-06</w:t>
            </w:r>
          </w:p>
        </w:tc>
        <w:tc>
          <w:tcPr>
            <w:tcW w:type="dxa" w:w="12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FR-08</w:t>
            </w:r>
          </w:p>
        </w:tc>
        <w:tc>
          <w:tcPr>
            <w:tcW w:type="dxa" w:w="726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Financial impact model generates NPV, IRR, and payback period for a sample recommendation set; outputs validated by senior engagement manager against manual model</w:t>
            </w:r>
          </w:p>
        </w:tc>
      </w:tr>
      <w:tr>
        <w:tc>
          <w:tcPr>
            <w:tcW w:type="dxa" w:w="9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AC-07</w:t>
            </w:r>
          </w:p>
        </w:tc>
        <w:tc>
          <w:tcPr>
            <w:tcW w:type="dxa" w:w="12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FR-09</w:t>
            </w:r>
          </w:p>
        </w:tc>
        <w:tc>
          <w:tcPr>
            <w:tcW w:type="dxa" w:w="72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Market intelligence module successfully ingests commodity price, carrier rate, and labor cost feeds; generates structured digest within 20 minutes of scheduled run</w:t>
            </w:r>
          </w:p>
        </w:tc>
      </w:tr>
      <w:tr>
        <w:tc>
          <w:tcPr>
            <w:tcW w:type="dxa" w:w="9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AC-08</w:t>
            </w:r>
          </w:p>
        </w:tc>
        <w:tc>
          <w:tcPr>
            <w:tcW w:type="dxa" w:w="12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FR-10</w:t>
            </w:r>
          </w:p>
        </w:tc>
        <w:tc>
          <w:tcPr>
            <w:tcW w:type="dxa" w:w="726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Weekly status report generated automatically on schedule, containing all required sections, with generation time &lt;= 10 minutes</w:t>
            </w:r>
          </w:p>
        </w:tc>
      </w:tr>
      <w:tr>
        <w:tc>
          <w:tcPr>
            <w:tcW w:type="dxa" w:w="9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AC-09</w:t>
            </w:r>
          </w:p>
        </w:tc>
        <w:tc>
          <w:tcPr>
            <w:tcW w:type="dxa" w:w="12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FR-11</w:t>
            </w:r>
          </w:p>
        </w:tc>
        <w:tc>
          <w:tcPr>
            <w:tcW w:type="dxa" w:w="72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Maturity scorecard produced for all defined capability domains with scoring consistency validated across two independent assessors (inter-rater reliability &gt;= 0.80 Cohen's Kappa)</w:t>
            </w:r>
          </w:p>
        </w:tc>
      </w:tr>
      <w:tr>
        <w:tc>
          <w:tcPr>
            <w:tcW w:type="dxa" w:w="9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AC-10</w:t>
            </w:r>
          </w:p>
        </w:tc>
        <w:tc>
          <w:tcPr>
            <w:tcW w:type="dxa" w:w="12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FR-14</w:t>
            </w:r>
          </w:p>
        </w:tc>
        <w:tc>
          <w:tcPr>
            <w:tcW w:type="dxa" w:w="726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Predictive demand model achieves MAPE &lt;= 15% on holdout test set; supply risk model achieves AUC &gt;= 0.75 on labeled test dataset</w:t>
            </w:r>
          </w:p>
        </w:tc>
      </w:tr>
      <w:tr>
        <w:tc>
          <w:tcPr>
            <w:tcW w:type="dxa" w:w="9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AC-11</w:t>
            </w:r>
          </w:p>
        </w:tc>
        <w:tc>
          <w:tcPr>
            <w:tcW w:type="dxa" w:w="12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FR-15</w:t>
            </w:r>
          </w:p>
        </w:tc>
        <w:tc>
          <w:tcPr>
            <w:tcW w:type="dxa" w:w="72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Board-level presentation output reviewed and approved by practice partner for format, accuracy, and firm presentation standards compliance</w:t>
            </w:r>
          </w:p>
        </w:tc>
      </w:tr>
      <w:tr>
        <w:tc>
          <w:tcPr>
            <w:tcW w:type="dxa" w:w="9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AC-12</w:t>
            </w:r>
          </w:p>
        </w:tc>
        <w:tc>
          <w:tcPr>
            <w:tcW w:type="dxa" w:w="12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FR-16</w:t>
            </w:r>
          </w:p>
        </w:tc>
        <w:tc>
          <w:tcPr>
            <w:tcW w:type="dxa" w:w="726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Knowledge base successfully stores and retrieves post-engagement artifacts; semantic search returns relevant results in &lt;= 3 seconds for 10 concurrent test queries</w:t>
            </w:r>
          </w:p>
        </w:tc>
      </w:tr>
      <w:tr>
        <w:tc>
          <w:tcPr>
            <w:tcW w:type="dxa" w:w="9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AC-13</w:t>
            </w:r>
          </w:p>
        </w:tc>
        <w:tc>
          <w:tcPr>
            <w:tcW w:type="dxa" w:w="12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All</w:t>
            </w:r>
          </w:p>
        </w:tc>
        <w:tc>
          <w:tcPr>
            <w:tcW w:type="dxa" w:w="72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Agent completes simulated end-to-end engagement workflow (data ingestion through final deliverable package) within defined SLA parameters on Azure Databricks test environment</w:t>
            </w:r>
          </w:p>
        </w:tc>
      </w:tr>
      <w:tr>
        <w:tc>
          <w:tcPr>
            <w:tcW w:type="dxa" w:w="9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AC-14</w:t>
            </w:r>
          </w:p>
        </w:tc>
        <w:tc>
          <w:tcPr>
            <w:tcW w:type="dxa" w:w="120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All</w:t>
            </w:r>
          </w:p>
        </w:tc>
        <w:tc>
          <w:tcPr>
            <w:tcW w:type="dxa" w:w="7260"/>
            <w:tcBorders>
              <w:top w:val="single" w:color="C9D4DF" w:sz="1"/>
              <w:left w:val="single" w:color="C9D4DF" w:sz="1"/>
              <w:bottom w:val="single" w:color="C9D4DF" w:sz="1"/>
              <w:right w:val="single" w:color="C9D4DF"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Security review confirms: no plaintext credentials in codebase, Unity Catalog RBAC enforced per access control matrix, all audit logs flowing to Azure Monitor</w:t>
            </w:r>
          </w:p>
        </w:tc>
      </w:tr>
    </w:tbl>
    <w:p>
      <w:r>
        <w:br w:type="page"/>
      </w:r>
    </w:p>
    <w:p>
      <w:pPr>
        <w:pStyle w:val="Heading1"/>
        <w:spacing w:after="160" w:before="400"/>
      </w:pPr>
      <w:r>
        <w:rPr>
          <w:rFonts w:ascii="Arial" w:cs="Arial" w:eastAsia="Arial" w:hAnsi="Arial"/>
          <w:b/>
          <w:bCs/>
          <w:color w:val="1B3A5C"/>
          <w:sz w:val="30"/>
          <w:szCs w:val="30"/>
        </w:rPr>
        <w:t xml:space="preserve">12  Revision History</w:t>
      </w:r>
    </w:p>
    <w:p>
      <w:pPr>
        <w:pBdr>
          <w:bottom w:val="single" w:color="2E6DA4" w:sz="4" w:space="1"/>
        </w:pBdr>
        <w:spacing w:after="120" w:before="120"/>
      </w:pPr>
      <w:r>
        <w:t xml:space="preserve"/>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160"/>
        <w:gridCol w:w="4200"/>
      </w:tblGrid>
      <w:tr>
        <w:tc>
          <w:tcPr>
            <w:tcW w:type="dxa" w:w="1200"/>
            <w:tcBorders>
              <w:top w:val="single" w:color="C9D4DF" w:sz="1"/>
              <w:left w:val="single" w:color="C9D4DF" w:sz="1"/>
              <w:bottom w:val="single" w:color="C9D4DF" w:sz="1"/>
              <w:right w:val="single" w:color="C9D4DF"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Version</w:t>
            </w:r>
          </w:p>
        </w:tc>
        <w:tc>
          <w:tcPr>
            <w:tcW w:type="dxa" w:w="1800"/>
            <w:tcBorders>
              <w:top w:val="single" w:color="C9D4DF" w:sz="1"/>
              <w:left w:val="single" w:color="C9D4DF" w:sz="1"/>
              <w:bottom w:val="single" w:color="C9D4DF" w:sz="1"/>
              <w:right w:val="single" w:color="C9D4DF"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Date</w:t>
            </w:r>
          </w:p>
        </w:tc>
        <w:tc>
          <w:tcPr>
            <w:tcW w:type="dxa" w:w="2160"/>
            <w:tcBorders>
              <w:top w:val="single" w:color="C9D4DF" w:sz="1"/>
              <w:left w:val="single" w:color="C9D4DF" w:sz="1"/>
              <w:bottom w:val="single" w:color="C9D4DF" w:sz="1"/>
              <w:right w:val="single" w:color="C9D4DF"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Author</w:t>
            </w:r>
          </w:p>
        </w:tc>
        <w:tc>
          <w:tcPr>
            <w:tcW w:type="dxa" w:w="4200"/>
            <w:tcBorders>
              <w:top w:val="single" w:color="C9D4DF" w:sz="1"/>
              <w:left w:val="single" w:color="C9D4DF" w:sz="1"/>
              <w:bottom w:val="single" w:color="C9D4DF" w:sz="1"/>
              <w:right w:val="single" w:color="C9D4DF"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 of Changes</w:t>
            </w:r>
          </w:p>
        </w:tc>
      </w:tr>
      <w:tr>
        <w:tc>
          <w:tcPr>
            <w:tcW w:type="dxa" w:w="12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bCs/>
                <w:color w:val="1A1A1A"/>
                <w:sz w:val="18"/>
                <w:szCs w:val="18"/>
              </w:rPr>
              <w:t xml:space="preserve">1.0</w:t>
            </w:r>
          </w:p>
        </w:tc>
        <w:tc>
          <w:tcPr>
            <w:tcW w:type="dxa" w:w="18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April 2026</w:t>
            </w:r>
          </w:p>
        </w:tc>
        <w:tc>
          <w:tcPr>
            <w:tcW w:type="dxa" w:w="216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COCOM Engineering</w:t>
            </w:r>
          </w:p>
        </w:tc>
        <w:tc>
          <w:tcPr>
            <w:tcW w:type="dxa" w:w="4200"/>
            <w:tcBorders>
              <w:top w:val="single" w:color="C9D4DF" w:sz="1"/>
              <w:left w:val="single" w:color="C9D4DF" w:sz="1"/>
              <w:bottom w:val="single" w:color="C9D4DF" w:sz="1"/>
              <w:right w:val="single" w:color="C9D4DF" w:sz="1"/>
            </w:tcBorders>
            <w:shd w:fill="F2F5F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Initial specification engineering document — AGT-16 Supply Chain Analytics &amp; Intelligence Agent</w:t>
            </w:r>
          </w:p>
        </w:tc>
      </w:tr>
    </w:tbl>
    <w:p>
      <w:pPr>
        <w:spacing w:after="0" w:before="0"/>
      </w:pPr>
      <w:r>
        <w:rPr>
          <w:sz w:val="40"/>
          <w:szCs w:val="40"/>
        </w:rPr>
        <w:t xml:space="preserve"/>
      </w:r>
    </w:p>
    <w:p>
      <w:pPr>
        <w:pBdr>
          <w:bottom w:val="single" w:color="2E6DA4" w:sz="4" w:space="1"/>
        </w:pBdr>
        <w:spacing w:after="120" w:before="120"/>
      </w:pPr>
      <w:r>
        <w:t xml:space="preserve"/>
      </w:r>
    </w:p>
    <w:p>
      <w:pPr>
        <w:spacing w:after="0" w:before="0"/>
      </w:pPr>
      <w:r>
        <w:rPr>
          <w:sz w:val="12"/>
          <w:szCs w:val="12"/>
        </w:rPr>
        <w:t xml:space="preserve"/>
      </w:r>
    </w:p>
    <w:p>
      <w:pPr>
        <w:spacing w:after="20" w:before="60"/>
        <w:jc w:val="center"/>
      </w:pPr>
      <w:r>
        <w:rPr>
          <w:rFonts w:ascii="Arial" w:cs="Arial" w:eastAsia="Arial" w:hAnsi="Arial"/>
          <w:b/>
          <w:bCs/>
          <w:color w:val="1B3A5C"/>
          <w:sz w:val="16"/>
          <w:szCs w:val="16"/>
        </w:rPr>
        <w:t xml:space="preserve">COCOM Group — Digital Workforce Platform</w:t>
      </w:r>
    </w:p>
    <w:p>
      <w:pPr>
        <w:spacing w:after="20" w:before="20"/>
        <w:jc w:val="center"/>
      </w:pPr>
      <w:r>
        <w:rPr>
          <w:rFonts w:ascii="Arial" w:cs="Arial" w:eastAsia="Arial" w:hAnsi="Arial"/>
          <w:color w:val="C9D4DF"/>
          <w:sz w:val="16"/>
          <w:szCs w:val="16"/>
        </w:rPr>
        <w:t xml:space="preserve">This document is confidential and proprietary to COCOM Group. Unauthorized reproduction or distribution is prohibited.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1"/>
      </w:pBdr>
      <w:tabs>
        <w:tab w:val="right" w:pos="9360"/>
      </w:tabs>
      <w:spacing w:after="0" w:before="80"/>
    </w:pPr>
    <w:r>
      <w:rPr>
        <w:rFonts w:ascii="Arial" w:cs="Arial" w:eastAsia="Arial" w:hAnsi="Arial"/>
        <w:color w:val="C9D4DF"/>
        <w:sz w:val="16"/>
        <w:szCs w:val="16"/>
      </w:rPr>
      <w:t xml:space="preserve">Confidential — COCOM Group</w:t>
    </w:r>
    <w:r>
      <w:rPr>
        <w:rFonts w:ascii="Arial" w:cs="Arial" w:eastAsia="Arial" w:hAnsi="Arial"/>
        <w:sz w:val="16"/>
        <w:szCs w:val="16"/>
      </w:rPr>
      <w:t xml:space="preserve">	</w:t>
    </w:r>
    <w:r>
      <w:rPr>
        <w:rFonts w:ascii="Arial" w:cs="Arial" w:eastAsia="Arial" w:hAnsi="Arial"/>
        <w:color w:val="1B3A5C"/>
        <w:sz w:val="16"/>
        <w:szCs w:val="16"/>
      </w:rPr>
      <w:t xml:space="preserve">Page </w:t>
    </w:r>
    <w:r>
      <w:rPr>
        <w:rFonts w:ascii="Arial" w:cs="Arial" w:eastAsia="Arial" w:hAnsi="Arial"/>
        <w:color w:val="1B3A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1"/>
      </w:pBdr>
      <w:tabs>
        <w:tab w:val="right" w:pos="9360"/>
      </w:tabs>
      <w:spacing w:after="80" w:before="0"/>
    </w:pPr>
    <w:r>
      <w:rPr>
        <w:rFonts w:ascii="Arial" w:cs="Arial" w:eastAsia="Arial" w:hAnsi="Arial"/>
        <w:b/>
        <w:bCs/>
        <w:color w:val="1B3A5C"/>
        <w:sz w:val="16"/>
        <w:szCs w:val="16"/>
      </w:rPr>
      <w:t xml:space="preserve">COCOM Group | Digital Workforce Platform</w:t>
    </w:r>
    <w:r>
      <w:rPr>
        <w:rFonts w:ascii="Arial" w:cs="Arial" w:eastAsia="Arial" w:hAnsi="Arial"/>
        <w:sz w:val="16"/>
        <w:szCs w:val="16"/>
      </w:rPr>
      <w:t xml:space="preserve">	</w:t>
    </w:r>
    <w:r>
      <w:rPr>
        <w:rFonts w:ascii="Arial" w:cs="Arial" w:eastAsia="Arial" w:hAnsi="Arial"/>
        <w:color w:val="C9D4DF"/>
        <w:sz w:val="16"/>
        <w:szCs w:val="16"/>
      </w:rPr>
      <w:t xml:space="preserve">AGT-16 Specification Engineering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5C"/>
      <w:sz w:val="30"/>
      <w:szCs w:val="30"/>
    </w:rPr>
  </w:style>
  <w:style w:type="paragraph" w:styleId="Heading2">
    <w:name w:val="Heading 2"/>
    <w:basedOn w:val="Normal"/>
    <w:next w:val="Normal"/>
    <w:qFormat/>
    <w:pPr>
      <w:spacing w:after="120" w:before="300"/>
      <w:outlineLvl w:val="1"/>
    </w:pPr>
    <w:rPr>
      <w:rFonts w:ascii="Arial" w:cs="Arial" w:eastAsia="Arial" w:hAnsi="Arial"/>
      <w:b/>
      <w:bCs/>
      <w:color w:val="2E6DA4"/>
      <w:sz w:val="24"/>
      <w:szCs w:val="24"/>
    </w:rPr>
  </w:style>
  <w:style w:type="paragraph" w:styleId="Heading3">
    <w:name w:val="Heading 3"/>
    <w:basedOn w:val="Normal"/>
    <w:next w:val="Normal"/>
    <w:qFormat/>
    <w:pPr>
      <w:spacing w:after="80" w:before="24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2026-04-08T12:52:12.049Z</dcterms:created>
  <dcterms:modified xsi:type="dcterms:W3CDTF">2026-04-08T12:52:12.050Z</dcterms:modified>
</cp:coreProperties>
</file>

<file path=docProps/custom.xml><?xml version="1.0" encoding="utf-8"?>
<Properties xmlns="http://schemas.openxmlformats.org/officeDocument/2006/custom-properties" xmlns:vt="http://schemas.openxmlformats.org/officeDocument/2006/docPropsVTypes"/>
</file>