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501214"/>
          <w:sz w:val="48"/>
          <w:szCs w:val="48"/>
        </w:rPr>
        <w:t xml:space="preserve">Notebook Review</w:t>
      </w:r>
    </w:p>
    <w:p>
      <w:pPr>
        <w:spacing w:after="80"/>
        <w:jc w:val="center"/>
      </w:pPr>
      <w:r>
        <w:rPr>
          <w:rFonts w:ascii="Arial" w:cs="Arial" w:eastAsia="Arial" w:hAnsi="Arial"/>
          <w:color w:val="6a5638"/>
          <w:sz w:val="32"/>
          <w:szCs w:val="32"/>
        </w:rPr>
        <w:t xml:space="preserve">Analysis2.ipynb</w:t>
      </w:r>
    </w:p>
    <w:p>
      <w:pPr>
        <w:spacing w:after="80"/>
        <w:jc w:val="center"/>
      </w:pPr>
      <w:r>
        <w:rPr>
          <w:rFonts w:ascii="Arial" w:cs="Arial" w:eastAsia="Arial" w:hAnsi="Arial"/>
          <w:color w:val="666666"/>
          <w:sz w:val="24"/>
          <w:szCs w:val="24"/>
        </w:rPr>
        <w:t xml:space="preserve">TXST Datathon: Library Resource Reallocation</w:t>
      </w:r>
    </w:p>
    <w:p>
      <w:pPr>
        <w:spacing w:after="400"/>
        <w:jc w:val="center"/>
      </w:pPr>
      <w:r>
        <w:rPr>
          <w:rFonts w:ascii="Arial" w:cs="Arial" w:eastAsia="Arial" w:hAnsi="Arial"/>
          <w:color w:val="999999"/>
          <w:sz w:val="22"/>
          <w:szCs w:val="22"/>
        </w:rPr>
        <w:t xml:space="preserve">February 12, 2026</w:t>
      </w:r>
    </w:p>
    <w:p>
      <w:pPr>
        <w:pStyle w:val="Heading1"/>
        <w:spacing w:before="240" w:after="120"/>
      </w:pPr>
      <w:r>
        <w:t xml:space="preserve">Overall Assessment</w:t>
      </w:r>
    </w:p>
    <w:p>
      <w:pPr>
        <w:spacing w:after="200" w:line="276"/>
      </w:pPr>
      <w:r>
        <w:t xml:space="preserve">This is a </w:t>
      </w:r>
      <w:r>
        <w:rPr>
          <w:b/>
          <w:bCs/>
        </w:rPr>
        <w:t xml:space="preserve">strong datathon notebook</w:t>
      </w:r>
      <w:r>
        <w:t xml:space="preserve"> with a well-scoped research question, a logical analytical arc (descriptive, predictive, prescriptive), and polished visualizations with consistent TXST branding. The narrative structure builds a compelling case for library resource reallocation. That said, there are several issues across data consistency, methodology, and presentation that should be addressed before final submission.</w:t>
      </w:r>
    </w:p>
    <w:p>
      <w:pPr>
        <w:pStyle w:val="Heading1"/>
        <w:spacing w:before="240" w:after="120"/>
      </w:pPr>
      <w:r>
        <w:t xml:space="preserve">Issues Summary</w:t>
      </w:r>
    </w:p>
    <w:p>
      <w:pPr>
        <w:spacing w:after="200" w:line="276"/>
      </w:pPr>
      <w:r>
        <w:t xml:space="preserve">The following table summarizes all identified issues, ranked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CCCCCC" w:sz="1"/>
              <w:left w:val="single" w:color="CCCCCC" w:sz="1"/>
              <w:bottom w:val="single" w:color="CCCCCC" w:sz="1"/>
              <w:right w:val="single" w:color="CCCCCC" w:sz="1"/>
            </w:tcBorders>
            <w:shd w:fill="501214" w:val="clear"/>
            <w:tcMar>
              <w:top w:type="dxa" w:w="80"/>
              <w:left w:type="dxa" w:w="120"/>
              <w:bottom w:type="dxa" w:w="80"/>
              <w:right w:type="dxa" w:w="120"/>
            </w:tcMar>
          </w:tcPr>
          <w:p>
            <w:r>
              <w:rPr>
                <w:rFonts w:ascii="Arial" w:cs="Arial" w:eastAsia="Arial" w:hAnsi="Arial"/>
                <w:b/>
                <w:bCs/>
                <w:color w:val="FFFFFF"/>
              </w:rPr>
              <w:t xml:space="preserve">Issue</w:t>
            </w:r>
          </w:p>
        </w:tc>
        <w:tc>
          <w:tcPr>
            <w:tcW w:type="dxa" w:w="2000"/>
            <w:tcBorders>
              <w:top w:val="single" w:color="CCCCCC" w:sz="1"/>
              <w:left w:val="single" w:color="CCCCCC" w:sz="1"/>
              <w:bottom w:val="single" w:color="CCCCCC" w:sz="1"/>
              <w:right w:val="single" w:color="CCCCCC" w:sz="1"/>
            </w:tcBorders>
            <w:shd w:fill="501214" w:val="clear"/>
            <w:tcMar>
              <w:top w:type="dxa" w:w="80"/>
              <w:left w:type="dxa" w:w="120"/>
              <w:bottom w:type="dxa" w:w="80"/>
              <w:right w:type="dxa" w:w="120"/>
            </w:tcMar>
          </w:tcPr>
          <w:p>
            <w:r>
              <w:rPr>
                <w:rFonts w:ascii="Arial" w:cs="Arial" w:eastAsia="Arial" w:hAnsi="Arial"/>
                <w:b/>
                <w:bCs/>
                <w:color w:val="FFFFFF"/>
              </w:rPr>
              <w:t xml:space="preserve">Severity</w:t>
            </w:r>
          </w:p>
        </w:tc>
        <w:tc>
          <w:tcPr>
            <w:tcW w:type="dxa" w:w="2360"/>
            <w:tcBorders>
              <w:top w:val="single" w:color="CCCCCC" w:sz="1"/>
              <w:left w:val="single" w:color="CCCCCC" w:sz="1"/>
              <w:bottom w:val="single" w:color="CCCCCC" w:sz="1"/>
              <w:right w:val="single" w:color="CCCCCC" w:sz="1"/>
            </w:tcBorders>
            <w:shd w:fill="501214" w:val="clear"/>
            <w:tcMar>
              <w:top w:type="dxa" w:w="80"/>
              <w:left w:type="dxa" w:w="120"/>
              <w:bottom w:type="dxa" w:w="80"/>
              <w:right w:type="dxa" w:w="120"/>
            </w:tcMar>
          </w:tcPr>
          <w:p>
            <w:r>
              <w:rPr>
                <w:rFonts w:ascii="Arial" w:cs="Arial" w:eastAsia="Arial" w:hAnsi="Arial"/>
                <w:b/>
                <w:bCs/>
                <w:color w:val="FFFFFF"/>
              </w:rPr>
              <w:t xml:space="preserve">Cell(s)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Patron data anomalies (FY16 Faculty, FY17 Faculty)</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Enrollment fallback mismatch</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Dual-axis bar chart visually misleading</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Forecast on 4 points, no confidence metrics</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Equipment forecast driven by single outlier year</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11</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Reallocation matrix mixes time periods</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950B"/>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Leftover AI citation artifacts in code</w:t>
            </w:r>
          </w:p>
        </w:tc>
        <w:tc>
          <w:tcPr>
            <w:tcW w:type="dxa" w:w="2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VIZ 6 title editorializes beyond the data</w:t>
            </w:r>
          </w:p>
        </w:tc>
        <w:tc>
          <w:tcPr>
            <w:tcW w:type="dxa" w:w="2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Redundant imports</w:t>
            </w:r>
          </w:p>
        </w:tc>
        <w:tc>
          <w:tcPr>
            <w:tcW w:type="dxa" w:w="2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1, 12</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Near-zero claim for Juvenile (2,940)</w:t>
            </w:r>
          </w:p>
        </w:tc>
        <w:tc>
          <w:tcPr>
            <w:tcW w:type="dxa" w:w="2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14</w:t>
            </w:r>
          </w:p>
        </w:tc>
      </w:tr>
    </w:tbl>
    <w:p>
      <w:pPr>
        <w:spacing w:after="200"/>
      </w:pPr>
    </w:p>
    <w:p>
      <w:pPr>
        <w:pStyle w:val="Heading1"/>
        <w:spacing w:before="240" w:after="120"/>
      </w:pPr>
      <w:r>
        <w:t xml:space="preserve">Detailed Findings</w:t>
      </w:r>
    </w:p>
    <w:p>
      <w:pPr>
        <w:pStyle w:val="Heading2"/>
        <w:spacing w:before="240" w:after="120"/>
      </w:pPr>
      <w:r>
        <w:t xml:space="preserve">Internal Data Consistency: Patron Data Anomalies</w:t>
      </w:r>
    </w:p>
    <w:p>
      <w:pPr>
        <w:spacing w:after="200" w:line="276"/>
      </w:pPr>
      <w:r>
        <w:rPr>
          <w:b/>
          <w:bCs/>
        </w:rPr>
        <w:t xml:space="preserve">Cells affected: </w:t>
      </w:r>
      <w:r>
        <w:t xml:space="preserve">2 (hardcoded data), 8 (VIZ 5)</w:t>
      </w:r>
    </w:p>
    <w:p>
      <w:pPr>
        <w:spacing w:after="200" w:line="276"/>
      </w:pPr>
      <w:r>
        <w:t xml:space="preserve">The patron_df contains two values that stand out sharply against their surrounding data. FY2016 Faculty is recorded as 44,397, which is roughly 2–4 times every other year in the series. This inflates FY2016’s Grand_Total to 182,898, making it substantially higher than its corresponding Annual_Total of 161,701—a gap of approximately 21,000 that is never explained. By contrast, every other year’s Grand_Total roughly matches its Annual_Total.</w:t>
      </w:r>
    </w:p>
    <w:p>
      <w:pPr>
        <w:spacing w:after="200" w:line="276"/>
      </w:pPr>
      <w:r>
        <w:t xml:space="preserve">Similarly, FY2017 Faculty is just 1,128, which is suspiciously low compared to the ~10,000–24,000 range seen in all other years. Any visualization or trend analysis that touches patron data (particularly VIZ 5) silently carries these anomalies.</w:t>
      </w:r>
    </w:p>
    <w:p>
      <w:pPr>
        <w:spacing w:after="200" w:line="276"/>
      </w:pPr>
      <w:r>
        <w:rPr>
          <w:b/>
          <w:bCs/>
        </w:rPr>
        <w:t xml:space="preserve">Recommendation: </w:t>
      </w:r>
      <w:r>
        <w:t xml:space="preserve">Add an inline comment acknowledging these irregularities, or exclude the anomalous years from patron trend analysis. If the values are genuinely correct, a brief footnote explaining the cause (e.g., a reporting methodology change) would satisfy judges.</w:t>
      </w:r>
    </w:p>
    <w:p>
      <w:pPr>
        <w:pStyle w:val="Heading2"/>
        <w:spacing w:before="240" w:after="120"/>
      </w:pPr>
      <w:r>
        <w:t xml:space="preserve">Enrollment Fallback Produces Different Results</w:t>
      </w:r>
    </w:p>
    <w:p>
      <w:pPr>
        <w:spacing w:after="200" w:line="276"/>
      </w:pPr>
      <w:r>
        <w:rPr>
          <w:b/>
          <w:bCs/>
        </w:rPr>
        <w:t xml:space="preserve">Cell affected: </w:t>
      </w:r>
      <w:r>
        <w:t xml:space="preserve">3</w:t>
      </w:r>
    </w:p>
    <w:p>
      <w:pPr>
        <w:spacing w:after="200" w:line="276"/>
      </w:pPr>
      <w:r>
        <w:t xml:space="preserve">Cell 3 loads enrollment data via a try/except block. According to the saved output, the IPEDS file was found and loaded (e.g., 42,780 for FY2019). However, the hardcoded fallback uses entirely different figures (e.g., 38,644 for FY2019)—roughly 4,000 students lower per year. If someone runs this notebook without the external file, the per-capita circulation values in VIZ 6 would change materially without any warning.</w:t>
      </w:r>
    </w:p>
    <w:p>
      <w:pPr>
        <w:spacing w:after="200" w:line="276"/>
      </w:pPr>
      <w:r>
        <w:rPr>
          <w:b/>
          <w:bCs/>
        </w:rPr>
        <w:t xml:space="preserve">Recommendation: </w:t>
      </w:r>
      <w:r>
        <w:t xml:space="preserve">Either update the fallback numbers to match the real IPEDS values, or remove the fallback entirely so the notebook fails with a clear error rather than silently producing incorrect results.</w:t>
      </w:r>
    </w:p>
    <w:p>
      <w:pPr>
        <w:pStyle w:val="Heading2"/>
        <w:spacing w:before="240" w:after="120"/>
      </w:pPr>
      <w:r>
        <w:t xml:space="preserve">VIZ 2: Dual-Axis Bar Chart Is Visually Misleading</w:t>
      </w:r>
    </w:p>
    <w:p>
      <w:pPr>
        <w:spacing w:after="200" w:line="276"/>
      </w:pPr>
      <w:r>
        <w:rPr>
          <w:b/>
          <w:bCs/>
        </w:rPr>
        <w:t xml:space="preserve">Cell affected: </w:t>
      </w:r>
      <w:r>
        <w:t xml:space="preserve">5</w:t>
      </w:r>
    </w:p>
    <w:p>
      <w:pPr>
        <w:spacing w:after="200" w:line="276"/>
      </w:pPr>
      <w:r>
        <w:t xml:space="preserve">The “Divergence” chart uses a dual y-axis where enrollment (~38K–42K) and circulation (~60K–112K) are plotted on different scales. The visual impression of how much these diverge depends entirely on how the two axes are independently scaled. A viewer could easily misread the relative magnitudes.</w:t>
      </w:r>
    </w:p>
    <w:p>
      <w:pPr>
        <w:spacing w:after="200" w:line="276"/>
      </w:pPr>
      <w:r>
        <w:rPr>
          <w:b/>
          <w:bCs/>
        </w:rPr>
        <w:t xml:space="preserve">Recommendation: </w:t>
      </w:r>
      <w:r>
        <w:t xml:space="preserve">Index both series to a common base year (e.g., FY2019 = 100) so the chart honestly shows rates of change rather than arbitrary scale alignment. Alternatively, use two lines on a single normalized axis.</w:t>
      </w:r>
    </w:p>
    <w:p>
      <w:pPr>
        <w:pStyle w:val="Heading2"/>
        <w:spacing w:before="240" w:after="120"/>
      </w:pPr>
      <w:r>
        <w:t xml:space="preserve">Forecasting: Statistical Fragility</w:t>
      </w:r>
    </w:p>
    <w:p>
      <w:pPr>
        <w:spacing w:after="200" w:line="276"/>
      </w:pPr>
      <w:r>
        <w:rPr>
          <w:b/>
          <w:bCs/>
        </w:rPr>
        <w:t xml:space="preserve">Cells affected: </w:t>
      </w:r>
      <w:r>
        <w:t xml:space="preserve">10 (circulation forecast), 11 (equipment forecast)</w:t>
      </w:r>
    </w:p>
    <w:p>
      <w:pPr>
        <w:spacing w:after="200" w:line="276"/>
      </w:pPr>
      <w:r>
        <w:rPr>
          <w:b/>
          <w:bCs/>
        </w:rPr>
        <w:t xml:space="preserve">Circulation forecast (Cell 10): </w:t>
      </w:r>
      <w:r>
        <w:t xml:space="preserve">The approach of comparing a 10-year quadratic with a recent 4-year linear fit is conceptually sound and clearly shows stabilization. However, fitting a linear model to just four data points and projecting three years into the future is statistically fragile. The notebook does not report any goodness-of-fit metrics (R², standard error) or confidence intervals.</w:t>
      </w:r>
    </w:p>
    <w:p>
      <w:pPr>
        <w:spacing w:after="200" w:line="276"/>
      </w:pPr>
      <w:r>
        <w:rPr>
          <w:b/>
          <w:bCs/>
        </w:rPr>
        <w:t xml:space="preserve">Equipment forecast (Cell 11): </w:t>
      </w:r>
      <w:r>
        <w:t xml:space="preserve">This is more problematic. The linear fit is driven almost entirely by the FY24 spike (8,371 → 14,616, a +75% year-over-year jump). A single outlier year dominating a linear projection should be flagged. The summary claim that equipment demand is “on track to exceed 20K by FY2026” is bold given this.</w:t>
      </w:r>
    </w:p>
    <w:p>
      <w:pPr>
        <w:spacing w:after="200" w:line="276"/>
      </w:pPr>
      <w:r>
        <w:rPr>
          <w:b/>
          <w:bCs/>
        </w:rPr>
        <w:t xml:space="preserve">Recommendation: </w:t>
      </w:r>
      <w:r>
        <w:t xml:space="preserve">Add R² values to the forecast print output. For equipment, consider adding a caveat or showing a range/scenario rather than a single projected line. Even a brief note like “FY24 spike may reflect one-time factors” would demonstrate analytical rigor.</w:t>
      </w:r>
    </w:p>
    <w:p>
      <w:pPr>
        <w:pStyle w:val="Heading2"/>
        <w:spacing w:before="240" w:after="120"/>
      </w:pPr>
      <w:r>
        <w:t xml:space="preserve">Reallocation Matrix: Inconsistent Time Periods</w:t>
      </w:r>
    </w:p>
    <w:p>
      <w:pPr>
        <w:spacing w:after="200" w:line="276"/>
      </w:pPr>
      <w:r>
        <w:rPr>
          <w:b/>
          <w:bCs/>
        </w:rPr>
        <w:t xml:space="preserve">Cell affected: </w:t>
      </w:r>
      <w:r>
        <w:t xml:space="preserve">12</w:t>
      </w:r>
    </w:p>
    <w:p>
      <w:pPr>
        <w:spacing w:after="200" w:line="276"/>
      </w:pPr>
      <w:r>
        <w:t xml:space="preserve">The priority matrix compares percent change across different time spans without normalizing: Equipment/Keys uses FY21→24 (3 years), Laptops and Secured Collection use FY23→24 (1 year), and all physical collections use FY17→24 (7 years). Comparing a 1-year change to a 7-year change on the same horizontal axis is inherently misleading. A +14% change in one year is very different from a −29% change over seven years.</w:t>
      </w:r>
    </w:p>
    <w:p>
      <w:pPr>
        <w:spacing w:after="200" w:line="276"/>
      </w:pPr>
      <w:r>
        <w:t xml:space="preserve">The data dictionary already includes a </w:t>
      </w:r>
      <w:r>
        <w:rPr>
          <w:b/>
          <w:bCs/>
        </w:rPr>
        <w:t xml:space="preserve">period</w:t>
      </w:r>
      <w:r>
        <w:t xml:space="preserve"> field for each collection, but it is never displayed in the chart.</w:t>
      </w:r>
    </w:p>
    <w:p>
      <w:pPr>
        <w:spacing w:after="200" w:line="276"/>
      </w:pPr>
      <w:r>
        <w:rPr>
          <w:b/>
          <w:bCs/>
        </w:rPr>
        <w:t xml:space="preserve">Recommendation: </w:t>
      </w:r>
      <w:r>
        <w:t xml:space="preserve">Either annualize the rates using compound annual growth rate (CAGR), or add the time period to each bar label so judges can see the comparison is not apples-to-apples. The period field is already available—just surface it.</w:t>
      </w:r>
    </w:p>
    <w:p>
      <w:pPr>
        <w:pStyle w:val="Heading2"/>
        <w:spacing w:before="240" w:after="120"/>
      </w:pPr>
      <w:r>
        <w:t xml:space="preserve">Leftover AI Citation Artifacts</w:t>
      </w:r>
    </w:p>
    <w:p>
      <w:pPr>
        <w:spacing w:after="200" w:line="276"/>
      </w:pPr>
      <w:r>
        <w:rPr>
          <w:b/>
          <w:bCs/>
        </w:rPr>
        <w:t xml:space="preserve">Cell affected: </w:t>
      </w:r>
      <w:r>
        <w:t xml:space="preserve">12</w:t>
      </w:r>
    </w:p>
    <w:p>
      <w:pPr>
        <w:spacing w:after="200" w:line="276"/>
      </w:pPr>
      <w:r>
        <w:t xml:space="preserve">Cell 12 contains comments like </w:t>
      </w:r>
      <w:r>
        <w:rPr>
          <w:i/>
          <w:iCs/>
        </w:rPr>
        <w:t xml:space="preserve"># Threshold logic for color coding [cite: 1031, 1034, 1037]</w:t>
      </w:r>
      <w:r>
        <w:t xml:space="preserve"> and </w:t>
      </w:r>
      <w:r>
        <w:rPr>
          <w:i/>
          <w:iCs/>
        </w:rPr>
        <w:t xml:space="preserve"># Sorting by rate to create a clean visual flow [cite: 1040]</w:t>
      </w:r>
      <w:r>
        <w:t xml:space="preserve">. These appear to be reference markers from an AI conversation that were accidentally left in the code. They don’t correspond to anything in the notebook and will look odd to judges reviewing the source.</w:t>
      </w:r>
    </w:p>
    <w:p>
      <w:pPr>
        <w:spacing w:after="200" w:line="276"/>
      </w:pPr>
      <w:r>
        <w:rPr>
          <w:b/>
          <w:bCs/>
        </w:rPr>
        <w:t xml:space="preserve">Recommendation: </w:t>
      </w:r>
      <w:r>
        <w:t xml:space="preserve">Remove all [cite: ...] comments before submission.</w:t>
      </w:r>
    </w:p>
    <w:p>
      <w:pPr>
        <w:pStyle w:val="Heading2"/>
        <w:spacing w:before="240" w:after="120"/>
      </w:pPr>
      <w:r>
        <w:t xml:space="preserve">VIZ 6 Title Editorializes Beyond the Data</w:t>
      </w:r>
    </w:p>
    <w:p>
      <w:pPr>
        <w:spacing w:after="200" w:line="276"/>
      </w:pPr>
      <w:r>
        <w:rPr>
          <w:b/>
          <w:bCs/>
        </w:rPr>
        <w:t xml:space="preserve">Cell affected: </w:t>
      </w:r>
      <w:r>
        <w:t xml:space="preserve">9</w:t>
      </w:r>
    </w:p>
    <w:p>
      <w:pPr>
        <w:spacing w:after="200" w:line="276"/>
      </w:pPr>
      <w:r>
        <w:t xml:space="preserve">The per-capita chart title states “Students Use Library for Space, Not Collections.” This is a conclusion the circulation data cannot support. The notebook only shows that checkouts are declining—it contains no data about what students are doing instead (studying in the building, using Wi-Fi, attending events, etc.).</w:t>
      </w:r>
    </w:p>
    <w:p>
      <w:pPr>
        <w:spacing w:after="200" w:line="276"/>
      </w:pPr>
      <w:r>
        <w:rPr>
          <w:b/>
          <w:bCs/>
        </w:rPr>
        <w:t xml:space="preserve">Recommendation: </w:t>
      </w:r>
      <w:r>
        <w:t xml:space="preserve">Reword to something the data directly supports, such as “Checkouts Per Student Declining Despite Stable Enrollment.” The space-usage inference can appear in the written recommendations instead, framed as a hypothesis.</w:t>
      </w:r>
    </w:p>
    <w:p>
      <w:pPr>
        <w:pStyle w:val="Heading2"/>
        <w:spacing w:before="240" w:after="120"/>
      </w:pPr>
      <w:r>
        <w:t xml:space="preserve">Minor Code and Content Issues</w:t>
      </w:r>
    </w:p>
    <w:p>
      <w:pPr>
        <w:pStyle w:val="ListParagraph"/>
        <w:numPr>
          <w:ilvl w:val="0"/>
          <w:numId w:val="2"/>
        </w:numPr>
        <w:spacing w:after="120" w:line="276"/>
      </w:pPr>
      <w:r>
        <w:rPr>
          <w:b/>
          <w:bCs/>
        </w:rPr>
        <w:t xml:space="preserve">Redundant imports: </w:t>
      </w:r>
      <w:r>
        <w:t xml:space="preserve">Cell 12 re-imports matplotlib.pyplot and numpy, which were already imported in Cell 1.</w:t>
      </w:r>
    </w:p>
    <w:p>
      <w:pPr>
        <w:pStyle w:val="ListParagraph"/>
        <w:numPr>
          <w:ilvl w:val="0"/>
          <w:numId w:val="2"/>
        </w:numPr>
        <w:spacing w:after="120" w:line="276"/>
      </w:pPr>
      <w:r>
        <w:rPr>
          <w:b/>
          <w:bCs/>
        </w:rPr>
        <w:t xml:space="preserve">Global warning suppression: </w:t>
      </w:r>
      <w:r>
        <w:t xml:space="preserve">Cell 1 uses warnings.filterwarnings(‘ignore’) which suppresses all warnings, potentially hiding real issues during development.</w:t>
      </w:r>
    </w:p>
    <w:p>
      <w:pPr>
        <w:pStyle w:val="ListParagraph"/>
        <w:numPr>
          <w:ilvl w:val="0"/>
          <w:numId w:val="2"/>
        </w:numPr>
        <w:spacing w:after="120" w:line="276"/>
      </w:pPr>
      <w:r>
        <w:rPr>
          <w:b/>
          <w:bCs/>
        </w:rPr>
        <w:t xml:space="preserve">Dashboard suptitle clipping: </w:t>
      </w:r>
      <w:r>
        <w:t xml:space="preserve">The summary dashboard (Cell 13) uses y=1.02 for the suptitle position, which may clip in some rendering or export contexts.</w:t>
      </w:r>
    </w:p>
    <w:p>
      <w:pPr>
        <w:pStyle w:val="ListParagraph"/>
        <w:numPr>
          <w:ilvl w:val="0"/>
          <w:numId w:val="2"/>
        </w:numPr>
        <w:spacing w:after="120" w:line="276"/>
      </w:pPr>
      <w:r>
        <w:rPr>
          <w:b/>
          <w:bCs/>
        </w:rPr>
        <w:t xml:space="preserve">Near-zero claim overstated: </w:t>
      </w:r>
      <w:r>
        <w:t xml:space="preserve">The summary (Cell 14) states “DVD/Juvenile collections approaching near-zero usage,” but Juvenile is at 2,940 checkouts, which is not near zero. DVDs at 1,300 are low but also not approaching zero. Consider rewording to “significantly reduced usage.”</w:t>
      </w:r>
    </w:p>
    <w:p>
      <w:pPr>
        <w:pStyle w:val="Heading1"/>
        <w:spacing w:before="240" w:after="120"/>
      </w:pPr>
      <w:r>
        <w:t xml:space="preserve">Strengths</w:t>
      </w:r>
    </w:p>
    <w:p>
      <w:pPr>
        <w:spacing w:after="200" w:line="276"/>
      </w:pPr>
      <w:r>
        <w:t xml:space="preserve">The notebook has several notable strengths that position it well for the datathon:</w:t>
      </w:r>
    </w:p>
    <w:p>
      <w:pPr>
        <w:pStyle w:val="ListParagraph"/>
        <w:numPr>
          <w:ilvl w:val="0"/>
          <w:numId w:val="2"/>
        </w:numPr>
        <w:spacing w:after="120" w:line="276"/>
      </w:pPr>
      <w:r>
        <w:rPr>
          <w:b/>
          <w:bCs/>
        </w:rPr>
        <w:t xml:space="preserve">Research question: </w:t>
      </w:r>
      <w:r>
        <w:t xml:space="preserve">Well-scoped and directly actionable for library administration. The framing around “resource reallocation” gives the analysis a clear purpose beyond just describing trends.</w:t>
      </w:r>
    </w:p>
    <w:p>
      <w:pPr>
        <w:pStyle w:val="ListParagraph"/>
        <w:numPr>
          <w:ilvl w:val="0"/>
          <w:numId w:val="2"/>
        </w:numPr>
        <w:spacing w:after="120" w:line="276"/>
      </w:pPr>
      <w:r>
        <w:rPr>
          <w:b/>
          <w:bCs/>
        </w:rPr>
        <w:t xml:space="preserve">Analytical structure: </w:t>
      </w:r>
      <w:r>
        <w:t xml:space="preserve">The descriptive → predictive → prescriptive arc is a strong narrative framework that builds toward concrete recommendations.</w:t>
      </w:r>
    </w:p>
    <w:p>
      <w:pPr>
        <w:pStyle w:val="ListParagraph"/>
        <w:numPr>
          <w:ilvl w:val="0"/>
          <w:numId w:val="2"/>
        </w:numPr>
        <w:spacing w:after="120" w:line="276"/>
      </w:pPr>
      <w:r>
        <w:rPr>
          <w:b/>
          <w:bCs/>
        </w:rPr>
        <w:t xml:space="preserve">Visual branding: </w:t>
      </w:r>
      <w:r>
        <w:t xml:space="preserve">Consistent use of TXST maroon/gold palette across all 10 visualizations gives the project a professional, cohesive look.</w:t>
      </w:r>
    </w:p>
    <w:p>
      <w:pPr>
        <w:pStyle w:val="ListParagraph"/>
        <w:numPr>
          <w:ilvl w:val="0"/>
          <w:numId w:val="2"/>
        </w:numPr>
        <w:spacing w:after="120" w:line="276"/>
      </w:pPr>
      <w:r>
        <w:rPr>
          <w:b/>
          <w:bCs/>
        </w:rPr>
        <w:t xml:space="preserve">Heatmap (VIZ 4): </w:t>
      </w:r>
      <w:r>
        <w:t xml:space="preserve">The normalized-to-peak coloring is an effective technique for showing relative decline across locations at a glance.</w:t>
      </w:r>
    </w:p>
    <w:p>
      <w:pPr>
        <w:pStyle w:val="ListParagraph"/>
        <w:numPr>
          <w:ilvl w:val="0"/>
          <w:numId w:val="2"/>
        </w:numPr>
        <w:spacing w:after="120" w:line="276"/>
      </w:pPr>
      <w:r>
        <w:rPr>
          <w:b/>
          <w:bCs/>
        </w:rPr>
        <w:t xml:space="preserve">COVID context: </w:t>
      </w:r>
      <w:r>
        <w:t xml:space="preserve">The red-shaded COVID band on relevant charts provides useful context without over-emphasizing it.</w:t>
      </w:r>
    </w:p>
    <w:p>
      <w:pPr>
        <w:pStyle w:val="ListParagraph"/>
        <w:numPr>
          <w:ilvl w:val="0"/>
          <w:numId w:val="2"/>
        </w:numPr>
        <w:spacing w:after="120" w:line="276"/>
      </w:pPr>
      <w:r>
        <w:rPr>
          <w:b/>
          <w:bCs/>
        </w:rPr>
        <w:t xml:space="preserve">AI disclosure: </w:t>
      </w:r>
      <w:r>
        <w:t xml:space="preserve">Properly formatted per the datathon rubric requirements, including verification language.</w:t>
      </w:r>
    </w:p>
    <w:p>
      <w:pPr>
        <w:pStyle w:val="ListParagraph"/>
        <w:numPr>
          <w:ilvl w:val="0"/>
          <w:numId w:val="2"/>
        </w:numPr>
        <w:spacing w:after="120" w:line="276"/>
      </w:pPr>
      <w:r>
        <w:rPr>
          <w:b/>
          <w:bCs/>
        </w:rPr>
        <w:t xml:space="preserve">Dual forecast comparison: </w:t>
      </w:r>
      <w:r>
        <w:t xml:space="preserve">Showing both the long-term quadratic and recent linear stabilization trend on the same chart is a smart way to tell the story of a changing baseline.</w:t>
      </w:r>
    </w:p>
    <w:p>
      <w:pPr>
        <w:pStyle w:val="Heading1"/>
        <w:spacing w:before="240" w:after="120"/>
      </w:pPr>
      <w:r>
        <w:t xml:space="preserve">Priority Fixes Before Submission</w:t>
      </w:r>
    </w:p>
    <w:p>
      <w:pPr>
        <w:spacing w:after="200" w:line="276"/>
      </w:pPr>
      <w:r>
        <w:t xml:space="preserve">Ranked by impact on judging:</w:t>
      </w:r>
    </w:p>
    <w:p>
      <w:pPr>
        <w:pStyle w:val="ListParagraph"/>
        <w:numPr>
          <w:ilvl w:val="0"/>
          <w:numId w:val="3"/>
        </w:numPr>
        <w:spacing w:after="120" w:line="276"/>
      </w:pPr>
      <w:r>
        <w:rPr>
          <w:b/>
          <w:bCs/>
        </w:rPr>
        <w:t xml:space="preserve">Investigate and annotate patron data anomalies</w:t>
      </w:r>
      <w:r>
        <w:t xml:space="preserve"> (FY16/FY17 Faculty). Either fix the values or add a visible footnote.</w:t>
      </w:r>
    </w:p>
    <w:p>
      <w:pPr>
        <w:pStyle w:val="ListParagraph"/>
        <w:numPr>
          <w:ilvl w:val="0"/>
          <w:numId w:val="3"/>
        </w:numPr>
        <w:spacing w:after="120" w:line="276"/>
      </w:pPr>
      <w:r>
        <w:rPr>
          <w:b/>
          <w:bCs/>
        </w:rPr>
        <w:t xml:space="preserve">Fix or remove the enrollment fallback</w:t>
      </w:r>
      <w:r>
        <w:t xml:space="preserve"> so the notebook cannot silently produce wrong per-capita results.</w:t>
      </w:r>
    </w:p>
    <w:p>
      <w:pPr>
        <w:pStyle w:val="ListParagraph"/>
        <w:numPr>
          <w:ilvl w:val="0"/>
          <w:numId w:val="3"/>
        </w:numPr>
        <w:spacing w:after="120" w:line="276"/>
      </w:pPr>
      <w:r>
        <w:rPr>
          <w:b/>
          <w:bCs/>
        </w:rPr>
        <w:t xml:space="preserve">Add time periods to the reallocation matrix</w:t>
      </w:r>
      <w:r>
        <w:t xml:space="preserve"> bars or annualize the rates so the comparison is fair.</w:t>
      </w:r>
    </w:p>
    <w:p>
      <w:pPr>
        <w:pStyle w:val="ListParagraph"/>
        <w:numPr>
          <w:ilvl w:val="0"/>
          <w:numId w:val="3"/>
        </w:numPr>
        <w:spacing w:after="120" w:line="276"/>
      </w:pPr>
      <w:r>
        <w:rPr>
          <w:b/>
          <w:bCs/>
        </w:rPr>
        <w:t xml:space="preserve">Remove [cite: ...] artifacts</w:t>
      </w:r>
      <w:r>
        <w:t xml:space="preserve"> from Cell 12 before judges see the code.</w:t>
      </w:r>
    </w:p>
    <w:p>
      <w:pPr>
        <w:pStyle w:val="ListParagraph"/>
        <w:numPr>
          <w:ilvl w:val="0"/>
          <w:numId w:val="3"/>
        </w:numPr>
        <w:spacing w:after="120" w:line="276"/>
      </w:pPr>
      <w:r>
        <w:rPr>
          <w:b/>
          <w:bCs/>
        </w:rPr>
        <w:t xml:space="preserve">Add R² to forecast outputs</w:t>
      </w:r>
      <w:r>
        <w:t xml:space="preserve"> and temper the equipment projection language.</w:t>
      </w:r>
    </w:p>
    <w:p>
      <w:pPr>
        <w:pStyle w:val="ListParagraph"/>
        <w:numPr>
          <w:ilvl w:val="0"/>
          <w:numId w:val="3"/>
        </w:numPr>
        <w:spacing w:after="120" w:line="276"/>
      </w:pPr>
      <w:r>
        <w:rPr>
          <w:b/>
          <w:bCs/>
        </w:rPr>
        <w:t xml:space="preserve">Reword the VIZ 6 title</w:t>
      </w:r>
      <w:r>
        <w:t xml:space="preserve"> to reflect what the data actually shows.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Analysis2.ipynb Review</w:t>
    </w:r>
    <w:r>
      <w:rPr>
        <w:rFonts w:ascii="Arial" w:cs="Arial" w:eastAsia="Arial" w:hAnsi="Arial"/>
        <w:color w:val="999999"/>
        <w:sz w:val="18"/>
        <w:szCs w:val="18"/>
      </w:rPr>
      <w:t xml:space="preserve">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50121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6a5638"/>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2026-02-12T16:48:41.357Z</dcterms:created>
  <dcterms:modified xsi:type="dcterms:W3CDTF">2026-02-12T16:48:41.358Z</dcterms:modified>
</cp:coreProperties>
</file>

<file path=docProps/custom.xml><?xml version="1.0" encoding="utf-8"?>
<Properties xmlns="http://schemas.openxmlformats.org/officeDocument/2006/custom-properties" xmlns:vt="http://schemas.openxmlformats.org/officeDocument/2006/docPropsVTypes"/>
</file>