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F364D" w14:textId="2B4D81FD" w:rsidR="006C642D" w:rsidRDefault="006C642D" w:rsidP="00DA2A29">
      <w:pPr>
        <w:spacing w:line="480" w:lineRule="auto"/>
        <w:ind w:left="720" w:hanging="720"/>
        <w:rPr>
          <w:rFonts w:ascii="Times New Roman" w:hAnsi="Times New Roman" w:cs="Times New Roman"/>
          <w:b/>
          <w:bCs/>
        </w:rPr>
      </w:pPr>
      <w:r>
        <w:rPr>
          <w:rFonts w:ascii="Times New Roman" w:hAnsi="Times New Roman" w:cs="Times New Roman"/>
          <w:b/>
          <w:bCs/>
        </w:rPr>
        <w:t>Title:</w:t>
      </w:r>
    </w:p>
    <w:p w14:paraId="7AF55672" w14:textId="7487938B" w:rsidR="006C642D" w:rsidRDefault="006C642D" w:rsidP="00DA2A29">
      <w:pPr>
        <w:spacing w:line="480" w:lineRule="auto"/>
        <w:ind w:left="720" w:hanging="720"/>
        <w:rPr>
          <w:rFonts w:ascii="Times New Roman" w:hAnsi="Times New Roman" w:cs="Times New Roman"/>
          <w:b/>
          <w:bCs/>
        </w:rPr>
      </w:pPr>
      <w:r>
        <w:rPr>
          <w:rFonts w:ascii="Times New Roman" w:hAnsi="Times New Roman" w:cs="Times New Roman"/>
          <w:b/>
          <w:bCs/>
        </w:rPr>
        <w:t>Authors:</w:t>
      </w:r>
    </w:p>
    <w:p w14:paraId="5D730A8D" w14:textId="3290AAD9" w:rsidR="006C642D" w:rsidRDefault="006C642D" w:rsidP="00DA2A29">
      <w:pPr>
        <w:spacing w:line="480" w:lineRule="auto"/>
        <w:ind w:left="720" w:hanging="720"/>
        <w:rPr>
          <w:rFonts w:ascii="Times New Roman" w:hAnsi="Times New Roman" w:cs="Times New Roman"/>
          <w:b/>
          <w:bCs/>
        </w:rPr>
      </w:pPr>
      <w:r>
        <w:rPr>
          <w:rFonts w:ascii="Times New Roman" w:hAnsi="Times New Roman" w:cs="Times New Roman"/>
          <w:b/>
          <w:bCs/>
        </w:rPr>
        <w:t>Author Affiliations:</w:t>
      </w:r>
    </w:p>
    <w:p w14:paraId="3C1897C7" w14:textId="28FB705B" w:rsidR="006C642D" w:rsidRDefault="006C642D" w:rsidP="00DA2A29">
      <w:pPr>
        <w:spacing w:line="480" w:lineRule="auto"/>
        <w:ind w:left="720" w:hanging="720"/>
        <w:rPr>
          <w:rFonts w:ascii="Times New Roman" w:hAnsi="Times New Roman" w:cs="Times New Roman"/>
          <w:b/>
          <w:bCs/>
        </w:rPr>
      </w:pPr>
      <w:r>
        <w:rPr>
          <w:rFonts w:ascii="Times New Roman" w:hAnsi="Times New Roman" w:cs="Times New Roman"/>
          <w:b/>
          <w:bCs/>
        </w:rPr>
        <w:t>Corresponding Author:</w:t>
      </w:r>
    </w:p>
    <w:p w14:paraId="0DC26B4C" w14:textId="27A29522" w:rsidR="006C642D" w:rsidRDefault="006C642D" w:rsidP="00DA2A29">
      <w:pPr>
        <w:spacing w:line="480" w:lineRule="auto"/>
        <w:ind w:left="720" w:hanging="720"/>
        <w:rPr>
          <w:rFonts w:ascii="Times New Roman" w:hAnsi="Times New Roman" w:cs="Times New Roman"/>
          <w:b/>
          <w:bCs/>
        </w:rPr>
      </w:pPr>
      <w:r>
        <w:rPr>
          <w:rFonts w:ascii="Times New Roman" w:hAnsi="Times New Roman" w:cs="Times New Roman"/>
          <w:b/>
          <w:bCs/>
        </w:rPr>
        <w:t>Abstract:</w:t>
      </w:r>
    </w:p>
    <w:p w14:paraId="0DCBDD04" w14:textId="154F95E6" w:rsidR="006C642D" w:rsidRDefault="006C642D" w:rsidP="00DA2A29">
      <w:pPr>
        <w:spacing w:line="480" w:lineRule="auto"/>
        <w:ind w:left="720" w:hanging="720"/>
        <w:rPr>
          <w:rFonts w:ascii="Times New Roman" w:hAnsi="Times New Roman" w:cs="Times New Roman"/>
          <w:b/>
          <w:bCs/>
        </w:rPr>
      </w:pPr>
      <w:r>
        <w:rPr>
          <w:rFonts w:ascii="Times New Roman" w:hAnsi="Times New Roman" w:cs="Times New Roman"/>
          <w:b/>
          <w:bCs/>
        </w:rPr>
        <w:t>Keywords:</w:t>
      </w:r>
    </w:p>
    <w:p w14:paraId="54CF7D61" w14:textId="06C25AB7" w:rsidR="006C642D" w:rsidRDefault="006C642D" w:rsidP="00DA2A29">
      <w:pPr>
        <w:spacing w:line="480" w:lineRule="auto"/>
        <w:ind w:left="720" w:hanging="720"/>
        <w:rPr>
          <w:rFonts w:ascii="Times New Roman" w:hAnsi="Times New Roman" w:cs="Times New Roman"/>
          <w:b/>
          <w:bCs/>
        </w:rPr>
      </w:pPr>
      <w:commentRangeStart w:id="0"/>
      <w:r>
        <w:rPr>
          <w:rFonts w:ascii="Times New Roman" w:hAnsi="Times New Roman" w:cs="Times New Roman"/>
          <w:b/>
          <w:bCs/>
        </w:rPr>
        <w:t>Highlights:</w:t>
      </w:r>
      <w:commentRangeEnd w:id="0"/>
      <w:r>
        <w:rPr>
          <w:rStyle w:val="CommentReference"/>
        </w:rPr>
        <w:commentReference w:id="0"/>
      </w:r>
    </w:p>
    <w:p w14:paraId="0640A00E" w14:textId="14AF7B16" w:rsidR="006C642D" w:rsidRDefault="006C642D" w:rsidP="006C642D">
      <w:pPr>
        <w:spacing w:line="480" w:lineRule="auto"/>
        <w:ind w:left="720" w:hanging="720"/>
        <w:rPr>
          <w:rFonts w:ascii="Times New Roman" w:hAnsi="Times New Roman" w:cs="Times New Roman"/>
          <w:b/>
          <w:bCs/>
        </w:rPr>
      </w:pPr>
      <w:commentRangeStart w:id="1"/>
      <w:r>
        <w:rPr>
          <w:rFonts w:ascii="Times New Roman" w:hAnsi="Times New Roman" w:cs="Times New Roman"/>
          <w:b/>
          <w:bCs/>
        </w:rPr>
        <w:t>Graphical Abstract:</w:t>
      </w:r>
      <w:commentRangeEnd w:id="1"/>
      <w:r>
        <w:rPr>
          <w:rStyle w:val="CommentReference"/>
        </w:rPr>
        <w:commentReference w:id="1"/>
      </w:r>
    </w:p>
    <w:p w14:paraId="322A2608" w14:textId="28B6B875" w:rsidR="00210806" w:rsidRPr="00DA2A29" w:rsidRDefault="009D1183" w:rsidP="00DA2A29">
      <w:pPr>
        <w:spacing w:line="480" w:lineRule="auto"/>
        <w:ind w:left="720" w:hanging="720"/>
        <w:rPr>
          <w:rFonts w:ascii="Times New Roman" w:hAnsi="Times New Roman" w:cs="Times New Roman"/>
          <w:b/>
          <w:bCs/>
        </w:rPr>
      </w:pPr>
      <w:r w:rsidRPr="009B3C06">
        <w:rPr>
          <w:rFonts w:ascii="Times New Roman" w:hAnsi="Times New Roman" w:cs="Times New Roman"/>
          <w:b/>
          <w:bCs/>
        </w:rPr>
        <w:t>Introduction:</w:t>
      </w:r>
    </w:p>
    <w:p w14:paraId="2BD6E934" w14:textId="55806990" w:rsidR="009D1183" w:rsidRDefault="009D1183" w:rsidP="00DA2A29">
      <w:pPr>
        <w:spacing w:line="480" w:lineRule="auto"/>
        <w:ind w:firstLine="720"/>
        <w:rPr>
          <w:rFonts w:ascii="Times New Roman" w:hAnsi="Times New Roman" w:cs="Times New Roman"/>
        </w:rPr>
      </w:pPr>
      <w:r>
        <w:rPr>
          <w:rFonts w:ascii="Times New Roman" w:hAnsi="Times New Roman" w:cs="Times New Roman"/>
          <w:i/>
          <w:iCs/>
        </w:rPr>
        <w:t xml:space="preserve">Anaplasma phagocytophilum </w:t>
      </w:r>
      <w:r>
        <w:rPr>
          <w:rFonts w:ascii="Times New Roman" w:hAnsi="Times New Roman" w:cs="Times New Roman"/>
        </w:rPr>
        <w:t xml:space="preserve">is a tick-borne, intraerythrocytic bacterium </w:t>
      </w:r>
      <w:r w:rsidR="00091D0F">
        <w:rPr>
          <w:rFonts w:ascii="Times New Roman" w:hAnsi="Times New Roman" w:cs="Times New Roman"/>
        </w:rPr>
        <w:t>capable of causing</w:t>
      </w:r>
      <w:r>
        <w:rPr>
          <w:rFonts w:ascii="Times New Roman" w:hAnsi="Times New Roman" w:cs="Times New Roman"/>
        </w:rPr>
        <w:t xml:space="preserve"> anaplasmosis in humans and animals </w:t>
      </w:r>
      <w:r>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{"citationID":"6LeOD2dN","properties":{"formattedCitation":"(Bakken, 1994; Chen et al., 1994; Dumler et al., 2001; Rikihisa, 1991)","plainCitation":"(Bakken, 1994; Chen et al., 1994; Dumler et al., 2001; Rikihisa, 1991)","dontUpdate":true,"noteIndex":0},"citationItems":[{"id":1422,"uris":["http://zotero.org/users/6220652/items/DJ6JANV4"],"itemData":{"id":1422,"type":"article-journal","container-title":"JAMA","DOI":"10.1001/jama.1994.03520030054028","ISSN":"0098-7484","issue":"3","journalAbbreviation":"JAMA","language":"en","page":"212","source":"DOI.org (Crossref)","title":"Human Granulocytic Ehrlichiosis in the Upper Midwest United States: A New Species Emerging?","title-short":"Human Granulocytic Ehrlichiosis in the Upper Midwest United States","URL":"http://jama.jamanetwork.com/article.aspx?doi=10.1001/jama.1994.03520030054028","volume":"272","author":[{"family":"Bakken","given":"Johan S."}],"accessed":{"date-parts":[["2021",8,2]]},"issued":{"date-parts":[["1994",7,20]]}}},{"id":797,"uris":["http://zotero.org/users/6220652/items/KU3NXUAG"],"itemData":{"id":797,"type":"article-journal","container-title":"Journal of Clinical Microbiology","DOI":"10.1128/JCM.32.3.589-595.1994","ISSN":"0095-1137, 1098-660X","issue":"3","journalAbbreviation":"J. Clin. Microbiol.","language":"en","page":"589-595","source":"DOI.org (Crossref)","title":"Identification of a granulocytotropic Ehrlichia species as the etiologic agent of human disease.","URL":"https://JCM.asm.org/content/32/3/589","volume":"32","author":[{"family":"Chen","given":"S M"},{"family":"Dumler","given":"J S"},{"family":"Bakken","given":"J S"},{"family":"Walker","given":"D H"}],"accessed":{"date-parts":[["2021",2,4]]},"issued":{"date-parts":[["1994"]]}}},{"id":815,"uris":["http://zotero.org/users/6220652/items/BRSJLW2D"],"itemData":{"id":815,"type":"article-journal","container-title":"International Journal of Systematic and Evolutionary Microbiology","DOI":"10.1099/00207713-51-6-2145","ISSN":"1466-5026, 1466-5034","issue":"6","language":"en","page":"2145-2165","source":"DOI.org (Crossref)","title":"Reorganization of genera in the families Rickettsiaceae and Anaplasmataceae in the order Rickettsiales: unification of some species of Ehrlichia with Anaplasma, Cowdria with Ehrlichia and Ehrlichia with Neorickettsia, descriptions of six new species combinations and designation of Ehrlichia equi and 'HGE agent' as subjective synonyms of Ehrlichia phagocytophila.","title-short":"Reorganization of genera in the families Rickettsiaceae and Anaplasmataceae in the order Rickettsiales","URL":"https://www.microbiologyresearch.org/content/journal/ijsem/10.1099/00207713-51-6-2145","volume":"51","author":[{"family":"Dumler","given":"J S"},{"family":"Barbet","given":"A F"},{"family":"Bekker","given":"C P"},{"family":"Dasch","given":"G A"},{"family":"Palmer","given":"G H"},{"family":"Ray","given":"S C"},{"family":"Rikihisa","given":"Y"},{"family":"Rurangirwa","given":"F R"}],"accessed":{"date-parts":[["2021",2,4]]},"issued":{"date-parts":[["2001",11,1]]}}},{"id":2388,"uris":["http://zotero.org/users/6220652/items/UKEKVJ9C"],"itemData":{"id":2388,"type":"article-journal","abstract":"The tribe Ehrlichieae consists of gram-negative minute cocci that are obligate intracellular parasites classified in the family Rickettsiaceae. Although ehrlichial organisms have been observed in leukocytes for many years, only a few species have been cultured in quantities sufficient for biochemical and molecular analyses. Recents studies on 16S-rRNA sequence analysis and energy metabolism showed that the genus Ehrlichia is closely related to the genus Rickettsia. There is, however, no antigenic cross-reactivity between these genera. Ehrlichial organisms cause a disease called \"ehrlichiosis,\" a noncontagious infectious disease known to be transmitted by a tick in several cases and by a fluke in one case. Ehrlichia spp. infect dogs, ruminants, horses, and humans. Recently, two new ehrlichial diseases, Potomac horse fever and human ehrlichiosis, were discovered in the United States. The etiologic agent of Potomac horse fever, Ehrlichia risticii, is closely related to the known human pathogen Ehrlichia sennetsu. The etiologic agent of human ehrlichiosis is related to Ehrlichia canis, a canine pathogen. In contrast to the genus Rickettsia, members of the tribe Ehrlichieae reside primarily in the cytoplasmic vacuoles of monocytes or granulocytes and cause hematologic abnormalities, lymphadenopathy, and other pathologic changes in the host. However, the actual mechanisms whereby Ehrlichia spp. infect leukocytes, multiply in them, and produce various forms of systemic disease have not been defined. Depending on the ehrlichial species involved, serologic or direct microscopic observation of stained blood smears is currently used to diagnose ehrlichial disease.","container-title":"Clinical Microbiology Reviews","DOI":"10.1128/CMR.4.3.286","ISSN":"0893-8512, 1098-6618","issue":"3","journalAbbreviation":"Clin Microbiol Rev","language":"en","page":"286-308","source":"DOI.org (Crossref)","title":"The tribe Ehrlichieae and ehrlichial diseases","URL":"https://journals.asm.org/doi/10.1128/CMR.4.3.286","volume":"4","author":[{"family":"Rikihisa","given":"Y"}],"accessed":{"date-parts":[["2023",6,13]]},"issued":{"date-parts":[["1991",7]]}}}],"schema":"https://github.com/citation-style-language/schema/raw/master/csl-citation.json"} </w:instrText>
      </w:r>
      <w:r>
        <w:rPr>
          <w:rFonts w:ascii="Times New Roman" w:hAnsi="Times New Roman" w:cs="Times New Roman"/>
        </w:rPr>
        <w:fldChar w:fldCharType="separate"/>
      </w:r>
      <w:r w:rsidR="0031541F">
        <w:rPr>
          <w:rFonts w:ascii="Times New Roman" w:hAnsi="Times New Roman" w:cs="Times New Roman"/>
          <w:noProof/>
        </w:rPr>
        <w:t>(Bakken 1994; Chen et al. 1994; Dumler et al. 2001; Rikihisa 1991)</w:t>
      </w:r>
      <w:r>
        <w:rPr>
          <w:rFonts w:ascii="Times New Roman" w:hAnsi="Times New Roman" w:cs="Times New Roman"/>
        </w:rPr>
        <w:fldChar w:fldCharType="end"/>
      </w:r>
      <w:r>
        <w:rPr>
          <w:rFonts w:ascii="Times New Roman" w:hAnsi="Times New Roman" w:cs="Times New Roman"/>
        </w:rPr>
        <w:t xml:space="preserve">. In </w:t>
      </w:r>
      <w:r w:rsidR="00091D0F">
        <w:rPr>
          <w:rFonts w:ascii="Times New Roman" w:hAnsi="Times New Roman" w:cs="Times New Roman"/>
        </w:rPr>
        <w:t>the United States</w:t>
      </w:r>
      <w:r>
        <w:rPr>
          <w:rFonts w:ascii="Times New Roman" w:hAnsi="Times New Roman" w:cs="Times New Roman"/>
        </w:rPr>
        <w:t xml:space="preserve">, </w:t>
      </w:r>
      <w:r>
        <w:rPr>
          <w:rFonts w:ascii="Times New Roman" w:hAnsi="Times New Roman" w:cs="Times New Roman"/>
          <w:i/>
          <w:iCs/>
        </w:rPr>
        <w:t xml:space="preserve">A. </w:t>
      </w:r>
      <w:r w:rsidRPr="002E208C">
        <w:rPr>
          <w:rFonts w:ascii="Times New Roman" w:hAnsi="Times New Roman" w:cs="Times New Roman"/>
          <w:i/>
          <w:iCs/>
        </w:rPr>
        <w:t>phagocytophilum</w:t>
      </w:r>
      <w:r>
        <w:rPr>
          <w:rFonts w:ascii="Times New Roman" w:hAnsi="Times New Roman" w:cs="Times New Roman"/>
        </w:rPr>
        <w:t xml:space="preserve">-infection </w:t>
      </w:r>
      <w:r w:rsidRPr="002E208C">
        <w:rPr>
          <w:rFonts w:ascii="Times New Roman" w:hAnsi="Times New Roman" w:cs="Times New Roman"/>
        </w:rPr>
        <w:t>is</w:t>
      </w:r>
      <w:r>
        <w:rPr>
          <w:rFonts w:ascii="Times New Roman" w:hAnsi="Times New Roman" w:cs="Times New Roman"/>
        </w:rPr>
        <w:t xml:space="preserve"> primarily a concern for humans and is spread by the ticks </w:t>
      </w:r>
      <w:r w:rsidRPr="002E208C">
        <w:rPr>
          <w:rFonts w:ascii="Times New Roman" w:hAnsi="Times New Roman" w:cs="Times New Roman"/>
          <w:i/>
          <w:iCs/>
        </w:rPr>
        <w:t>Ixodes scapularis</w:t>
      </w:r>
      <w:r>
        <w:rPr>
          <w:rFonts w:ascii="Times New Roman" w:hAnsi="Times New Roman" w:cs="Times New Roman"/>
        </w:rPr>
        <w:t xml:space="preserve"> </w:t>
      </w:r>
      <w:r w:rsidR="00091D0F">
        <w:rPr>
          <w:rFonts w:ascii="Times New Roman" w:hAnsi="Times New Roman" w:cs="Times New Roman"/>
        </w:rPr>
        <w:t xml:space="preserve">in the east </w:t>
      </w:r>
      <w:r>
        <w:rPr>
          <w:rFonts w:ascii="Times New Roman" w:hAnsi="Times New Roman" w:cs="Times New Roman"/>
        </w:rPr>
        <w:t>and</w:t>
      </w:r>
      <w:r>
        <w:rPr>
          <w:rFonts w:ascii="Times New Roman" w:hAnsi="Times New Roman" w:cs="Times New Roman"/>
          <w:i/>
          <w:iCs/>
        </w:rPr>
        <w:t xml:space="preserve"> </w:t>
      </w:r>
      <w:r w:rsidRPr="002E208C">
        <w:rPr>
          <w:rFonts w:ascii="Times New Roman" w:hAnsi="Times New Roman" w:cs="Times New Roman"/>
          <w:i/>
          <w:iCs/>
        </w:rPr>
        <w:t>I</w:t>
      </w:r>
      <w:r>
        <w:rPr>
          <w:rFonts w:ascii="Times New Roman" w:hAnsi="Times New Roman" w:cs="Times New Roman"/>
          <w:i/>
          <w:iCs/>
        </w:rPr>
        <w:t>.</w:t>
      </w:r>
      <w:r w:rsidRPr="002E208C">
        <w:rPr>
          <w:rFonts w:ascii="Times New Roman" w:hAnsi="Times New Roman" w:cs="Times New Roman"/>
          <w:i/>
          <w:iCs/>
        </w:rPr>
        <w:t xml:space="preserve"> pacificus</w:t>
      </w:r>
      <w:r>
        <w:rPr>
          <w:rFonts w:ascii="Times New Roman" w:hAnsi="Times New Roman" w:cs="Times New Roman"/>
        </w:rPr>
        <w:t xml:space="preserve"> in </w:t>
      </w:r>
      <w:r w:rsidR="00091D0F">
        <w:rPr>
          <w:rFonts w:ascii="Times New Roman" w:hAnsi="Times New Roman" w:cs="Times New Roman"/>
        </w:rPr>
        <w:t>the</w:t>
      </w:r>
      <w:r>
        <w:rPr>
          <w:rFonts w:ascii="Times New Roman" w:hAnsi="Times New Roman" w:cs="Times New Roman"/>
        </w:rPr>
        <w:t xml:space="preserve"> west </w:t>
      </w:r>
      <w:r>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{"citationID":"TaHKoipB","properties":{"formattedCitation":"(Eisen et al., 2016)","plainCitation":"(Eisen et al., 2016)","noteIndex":0},"citationItems":[{"id":1057,"uris":["http://zotero.org/users/6220652/items/QCWIFCDW"],"itemData":{"id":1057,"type":"article-journal","container-title":"Journal of Medical Entomology","DOI":"10.1093/jme/tjv237","ISSN":"0022-2585, 1938-2928","issue":"2","journalAbbreviation":"J Med Entomol","language":"en","page":"349-386","source":"DOI.org (Crossref)","title":"County-Scale Distribution of &lt;i&gt;Ixodes scapularis&lt;/i&gt; and &lt;i&gt;Ixodes pacificus&lt;/i&gt; (Acari: Ixodidae) in the Continental United States","title-short":"County-Scale Distribution of &lt;i&gt;Ixodes scapularis&lt;/i&gt; and &lt;i&gt;Ixodes pacificus&lt;/i&gt; (Acari","URL":"https://academic.oup.com/jme/article-lookup/doi/10.1093/jme/tjv237","volume":"53","author":[{"family":"Eisen","given":"Rebecca J."},{"family":"Eisen","given":"Lars"},{"family":"Beard","given":"Charles B."}],"accessed":{"date-parts":[["2021",3,10]]},"issued":{"date-parts":[["2016",3]]}}}],"schema":"https://github.com/citation-style-language/schema/raw/master/csl-citation.json"} </w:instrText>
      </w:r>
      <w:r>
        <w:rPr>
          <w:rFonts w:ascii="Times New Roman" w:hAnsi="Times New Roman" w:cs="Times New Roman"/>
        </w:rPr>
        <w:fldChar w:fldCharType="separate"/>
      </w:r>
      <w:r w:rsidR="00F12320">
        <w:rPr>
          <w:rFonts w:ascii="Times New Roman" w:hAnsi="Times New Roman" w:cs="Times New Roman"/>
          <w:noProof/>
        </w:rPr>
        <w:t>(Eisen et al., 2016)</w:t>
      </w:r>
      <w:r>
        <w:rPr>
          <w:rFonts w:ascii="Times New Roman" w:hAnsi="Times New Roman" w:cs="Times New Roman"/>
        </w:rPr>
        <w:fldChar w:fldCharType="end"/>
      </w:r>
      <w:r>
        <w:rPr>
          <w:rFonts w:ascii="Times New Roman" w:hAnsi="Times New Roman" w:cs="Times New Roman"/>
        </w:rPr>
        <w:t xml:space="preserve">. Anaplasmosis has been the second most frequently reported tick-borne disease in the United States, where nearly 40,000 cases were reported between 2004 and 2016 </w:t>
      </w:r>
      <w:r>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{"citationID":"mvXUmfCt","properties":{"formattedCitation":"(Rosenberg et al., 2018)","plainCitation":"(Rosenberg et al., 2018)","noteIndex":0},"citationItems":[{"id":1143,"uris":["http://zotero.org/users/6220652/items/GXVU8TYW"],"itemData":{"id":1143,"type":"report","collection-title":"MMWR Morbidity and Mortality Weekly Report","number":"67","page":"496-501","publisher":"Centers for Disease Control and Prevention","title":"&lt;i&gt;Vital Signs&lt;i/&gt;: Trends in Reported Vectorborne DIsease Cases - United States and Territories, 2004 - 2016","URL":"https://www.cdc.gov/mmwr/volumes/67/wr/mm6717e1.htm#suggestedcitation","author":[{"family":"Rosenberg","given":"R"},{"family":"Lindsey","given":"N. P."},{"family":"Fischer","given":"M"}],"issued":{"date-parts":[["2018"]]}}}],"schema":"https://github.com/citation-style-language/schema/raw/master/csl-citation.json"} </w:instrText>
      </w:r>
      <w:r>
        <w:rPr>
          <w:rFonts w:ascii="Times New Roman" w:hAnsi="Times New Roman" w:cs="Times New Roman"/>
        </w:rPr>
        <w:fldChar w:fldCharType="separate"/>
      </w:r>
      <w:r w:rsidR="00F12320">
        <w:rPr>
          <w:rFonts w:ascii="Times New Roman" w:hAnsi="Times New Roman" w:cs="Times New Roman"/>
          <w:noProof/>
        </w:rPr>
        <w:t>(Rosenberg et al., 2018)</w:t>
      </w:r>
      <w:r>
        <w:rPr>
          <w:rFonts w:ascii="Times New Roman" w:hAnsi="Times New Roman" w:cs="Times New Roman"/>
        </w:rPr>
        <w:fldChar w:fldCharType="end"/>
      </w:r>
      <w:r>
        <w:rPr>
          <w:rFonts w:ascii="Times New Roman" w:hAnsi="Times New Roman" w:cs="Times New Roman"/>
        </w:rPr>
        <w:t xml:space="preserve">. Notably, </w:t>
      </w:r>
      <w:r>
        <w:rPr>
          <w:rFonts w:ascii="Times New Roman" w:hAnsi="Times New Roman" w:cs="Times New Roman"/>
          <w:i/>
          <w:iCs/>
        </w:rPr>
        <w:t xml:space="preserve">A. phagocytophilum </w:t>
      </w:r>
      <w:r>
        <w:rPr>
          <w:rFonts w:ascii="Times New Roman" w:hAnsi="Times New Roman" w:cs="Times New Roman"/>
        </w:rPr>
        <w:t xml:space="preserve">is considered a host-generalist, however, analysis and characterization of its genetic variants over the last two decades indicate that specific genetic variants have varying host competences </w:t>
      </w:r>
      <w:r>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{"citationID":"U85LAzrk","properties":{"formattedCitation":"(Dugat et al., 2014; Stuen et al., 2013)","plainCitation":"(Dugat et al., 2014; Stuen et al., 2013)","noteIndex":0},"citationItems":[{"id":2380,"uris":["http://zotero.org/users/6220652/items/KCCWL2J7"],"itemData":{"id":2380,"type":"article-journal","container-title":"Parasites &amp; Vectors","DOI":"10.1186/1756-3305-7-439","ISSN":"1756-3305","issue":"1","journalAbbreviation":"Parasites Vectors","language":"en","page":"439","source":"DOI.org (Crossref)","title":"A new multiple-locus variable-number tandem repeat analysis reveals different clusters for Anaplasma phagocytophilum circulating in domestic and wild ruminants","URL":"https://parasitesandvectors.biomedcentral.com/articles/10.1186/1756-3305-7-439","volume":"7","author":[{"family":"Dugat","given":"Thibaud"},{"family":"Chastagner","given":"Amélie"},{"family":"Lagrée","given":"Anne-Claire"},{"family":"Petit","given":"Elisabeth"},{"family":"Durand","given":"Benoît"},{"family":"Thierry","given":"Simon"},{"family":"Corbière","given":"Fabien"},{"family":"Verheyden","given":"Hélène"},{"family":"Chabanne","given":"Luc"},{"family":"Bailly","given":"Xavier"},{"family":"Leblond","given":"Agnès"},{"family":"Vourc’h","given":"Gwenaël"},{"family":"Boulouis","given":"Henri-Jean"},{"family":"Maillard","given":"Renaud"},{"family":"Haddad","given":"Nadia"}],"accessed":{"date-parts":[["2023",5,24]]},"issued":{"date-parts":[["2014",12]]}}},{"id":2374,"uris":["http://zotero.org/users/6220652/items/CQ2YKFV2"],"itemData":{"id":2374,"type":"article-journal","container-title":"Frontiers in Cellular and Infection Microbiology","DOI":"10.3389/fcimb.2013.00031","ISSN":"2235-2988","journalAbbreviation":"Front. Cell. Infect. Microbiol.","source":"DOI.org (Crossref)","title":"Anaplasma phagocytophilum—a widespread multi-host pathogen with highly adaptive strategies","URL":"http://journal.frontiersin.org/article/10.3389/fcimb.2013.00031/abstract","volume":"3","author":[{"family":"Stuen","given":"Snorre"},{"family":"Granquist","given":"Erik G."},{"family":"Silaghi","given":"Cornelia"}],"accessed":{"date-parts":[["2023",5,17]]},"issued":{"date-parts":[["2013"]]}}}],"schema":"https://github.com/citation-style-language/schema/raw/master/csl-citation.json"} </w:instrText>
      </w:r>
      <w:r>
        <w:rPr>
          <w:rFonts w:ascii="Times New Roman" w:hAnsi="Times New Roman" w:cs="Times New Roman"/>
        </w:rPr>
        <w:fldChar w:fldCharType="separate"/>
      </w:r>
      <w:r w:rsidR="00F12320">
        <w:rPr>
          <w:rFonts w:ascii="Times New Roman" w:hAnsi="Times New Roman" w:cs="Times New Roman"/>
          <w:noProof/>
        </w:rPr>
        <w:t>(Dugat et al., 2014; Stuen et al., 2013)</w:t>
      </w:r>
      <w:r>
        <w:rPr>
          <w:rFonts w:ascii="Times New Roman" w:hAnsi="Times New Roman" w:cs="Times New Roman"/>
        </w:rPr>
        <w:fldChar w:fldCharType="end"/>
      </w:r>
      <w:r>
        <w:rPr>
          <w:rFonts w:ascii="Times New Roman" w:hAnsi="Times New Roman" w:cs="Times New Roman"/>
        </w:rPr>
        <w:t xml:space="preserve">. </w:t>
      </w:r>
      <w:r w:rsidRPr="00E42E1B">
        <w:rPr>
          <w:rFonts w:ascii="Times New Roman" w:hAnsi="Times New Roman" w:cs="Times New Roman"/>
        </w:rPr>
        <w:t xml:space="preserve">Further, the distribution of </w:t>
      </w:r>
      <w:r w:rsidRPr="00E42E1B">
        <w:rPr>
          <w:rFonts w:ascii="Times New Roman" w:hAnsi="Times New Roman" w:cs="Times New Roman"/>
          <w:i/>
          <w:iCs/>
        </w:rPr>
        <w:t>A. phagocytophilum</w:t>
      </w:r>
      <w:r w:rsidRPr="00E42E1B">
        <w:rPr>
          <w:rFonts w:ascii="Times New Roman" w:hAnsi="Times New Roman" w:cs="Times New Roman"/>
        </w:rPr>
        <w:t xml:space="preserve"> genetic variants differ across spatial scales and are likely maintained in nature through different epidemiological and ecological cycles </w:t>
      </w:r>
      <w:r>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{"citationID":"ngaWZjKm","properties":{"formattedCitation":"(Stuen et al., 2013)","plainCitation":"(Stuen et al., 2013)","noteIndex":0},"citationItems":[{"id":2374,"uris":["http://zotero.org/users/6220652/items/CQ2YKFV2"],"itemData":{"id":2374,"type":"article-journal","container-title":"Frontiers in Cellular and Infection Microbiology","DOI":"10.3389/fcimb.2013.00031","ISSN":"2235-2988","journalAbbreviation":"Front. Cell. Infect. Microbiol.","source":"DOI.org (Crossref)","title":"Anaplasma phagocytophilum—a widespread multi-host pathogen with highly adaptive strategies","URL":"http://journal.frontiersin.org/article/10.3389/fcimb.2013.00031/abstract","volume":"3","author":[{"family":"Stuen","given":"Snorre"},{"family":"Granquist","given":"Erik G."},{"family":"Silaghi","given":"Cornelia"}],"accessed":{"date-parts":[["2023",5,17]]},"issued":{"date-parts":[["2013"]]}}}],"schema":"https://github.com/citation-style-language/schema/raw/master/csl-citation.json"} </w:instrText>
      </w:r>
      <w:r>
        <w:rPr>
          <w:rFonts w:ascii="Times New Roman" w:hAnsi="Times New Roman" w:cs="Times New Roman"/>
        </w:rPr>
        <w:fldChar w:fldCharType="separate"/>
      </w:r>
      <w:r w:rsidR="00F12320">
        <w:rPr>
          <w:rFonts w:ascii="Times New Roman" w:hAnsi="Times New Roman" w:cs="Times New Roman"/>
          <w:noProof/>
        </w:rPr>
        <w:t>(Stuen et al., 2013)</w:t>
      </w:r>
      <w:r>
        <w:rPr>
          <w:rFonts w:ascii="Times New Roman" w:hAnsi="Times New Roman" w:cs="Times New Roman"/>
        </w:rPr>
        <w:fldChar w:fldCharType="end"/>
      </w:r>
      <w:r w:rsidRPr="00E42E1B">
        <w:rPr>
          <w:rFonts w:ascii="Times New Roman" w:hAnsi="Times New Roman" w:cs="Times New Roman"/>
        </w:rPr>
        <w:t>.</w:t>
      </w:r>
      <w:r>
        <w:rPr>
          <w:rFonts w:ascii="Times New Roman" w:hAnsi="Times New Roman" w:cs="Times New Roman"/>
        </w:rPr>
        <w:t xml:space="preserve"> In the United States, cases of anaplasmosis are not endemic nation-wide, and their </w:t>
      </w:r>
      <w:r>
        <w:rPr>
          <w:rFonts w:ascii="Times New Roman" w:hAnsi="Times New Roman" w:cs="Times New Roman"/>
        </w:rPr>
        <w:lastRenderedPageBreak/>
        <w:t xml:space="preserve">heterogeneity is partly attributable to the distribution of genetic variants of </w:t>
      </w:r>
      <w:r>
        <w:rPr>
          <w:rFonts w:ascii="Times New Roman" w:hAnsi="Times New Roman" w:cs="Times New Roman"/>
          <w:i/>
          <w:iCs/>
        </w:rPr>
        <w:t>A. phagocytophilum</w:t>
      </w:r>
      <w:r>
        <w:rPr>
          <w:rFonts w:ascii="Times New Roman" w:hAnsi="Times New Roman" w:cs="Times New Roman"/>
        </w:rPr>
        <w:t xml:space="preserve"> </w:t>
      </w:r>
      <w:r>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{"citationID":"VeTArEYf","properties":{"formattedCitation":"(Massung et al., 2002; Teglas and Foley, 2006)","plainCitation":"(Massung et al., 2002; Teglas and Foley, 2006)","noteIndex":0},"citationItems":[{"id":1417,"uris":["http://zotero.org/users/6220652/items/8DSNLRVF"],"itemData":{"id":1417,"type":"article-journal","container-title":"Emerging Infectious Diseases","DOI":"10.3201/eid0805.010251","ISSN":"1080-6040, 1080-6059","issue":"5","journalAbbreviation":"Emerg. Infect. Dis.","page":"467-472","source":"DOI.org (Crossref)","title":"Genetic Variants of &lt;i&gt;Ehrlichia phagocytophila&lt;/i&gt; 1 &lt;i&gt;,&lt;/i&gt; Rhode Island and Connecticut","URL":"http://wwwnc.cdc.gov/eid/article/8/5/01-0251_article.htm","volume":"8","author":[{"family":"Massung","given":"Robert F."},{"family":"Mauel","given":"Michael J."},{"family":"Owens","given":"Jessica H."},{"family":"Allan","given":"Nancy"},{"family":"Courtney","given":"Joshua W."},{"family":"Stafford","given":"Kirby C."},{"family":"Mather","given":"Thomas N."}],"accessed":{"date-parts":[["2021",8,2]]},"issued":{"date-parts":[["2002",5]]}},"label":"page"},{"id":1434,"uris":["http://zotero.org/users/6220652/items/V3XKCLRS"],"itemData":{"id":1434,"type":"article-journal","abstract":"The etiologic agent of granulocytic anaplasmosis, Anaplasma phagocytophilum, has a circum-global distribution within the northern hemisphere and shows a host species predilection that varies by the geographic region in which the disease is found. Adaptation by the bacterium to a host species potentially contributes to the variation found worldwide but this is confounded by the bacterium's relationship with its tick vectors, all of which belong to the Ixodes ricinus group. We tested the hypothesis that tick vector species collected from geographic regions sympatric with particular A. phagocytophilum strains will show evidence of a higher degree of vector competence than will tick species and allopatric A. phagocytophilum strains. A reciprocal cross-transmission experiment was performed using an eastern and a western North American strain of A. phagocytophilum (Webster and MRK, respectively) and the two tick species, I. scapularis and I. pacificus, most commonly associated with human and animal transmission of the bacteria in the United States. The western tick, I. pacificus, showed a significantly higher vector competence for A. phagocytophilum than I. scapularis and the eastern isolate, Webster, was more transmissible than its western counterpart, MRK. These results indicate that geographic variation in host susceptibility to A. phagocytophilum strains may play a more important role in the epidemiology of granulocytic anaplasmosis than does the competence of its tick vectors to transmit the pathogen.","container-title":"Experimental &amp; Applied Acarology","DOI":"10.1007/s10493-005-5293-5","ISSN":"0168-8162","issue":"1","journalAbbreviation":"Exp Appl Acarol","language":"eng","note":"PMID: 16550334","page":"47-58","source":"PubMed","title":"Differences in the transmissibility of two Anaplasma phagocytophilum strains by the North American tick vector species, Ixodes pacificus and Ixodes scapularis (Acari: Ixodidae)","title-short":"Differences in the transmissibility of two Anaplasma phagocytophilum strains by the North American tick vector species, Ixodes pacificus and Ixodes scapularis (Acari","volume":"38","author":[{"family":"Teglas","given":"Mike B."},{"family":"Foley","given":"Janet"}],"issued":{"date-parts":[["2006"]]}},"label":"page"}],"schema":"https://github.com/citation-style-language/schema/raw/master/csl-citation.json"} </w:instrText>
      </w:r>
      <w:r>
        <w:rPr>
          <w:rFonts w:ascii="Times New Roman" w:hAnsi="Times New Roman" w:cs="Times New Roman"/>
        </w:rPr>
        <w:fldChar w:fldCharType="separate"/>
      </w:r>
      <w:r w:rsidR="00F12320">
        <w:rPr>
          <w:rFonts w:ascii="Times New Roman" w:hAnsi="Times New Roman" w:cs="Times New Roman"/>
          <w:kern w:val="0"/>
        </w:rPr>
        <w:t>(Massung et al., 2002; Teglas and Foley, 2006)</w:t>
      </w:r>
      <w:r>
        <w:rPr>
          <w:rFonts w:ascii="Times New Roman" w:hAnsi="Times New Roman" w:cs="Times New Roman"/>
        </w:rPr>
        <w:fldChar w:fldCharType="end"/>
      </w:r>
      <w:r>
        <w:rPr>
          <w:rFonts w:ascii="Times New Roman" w:hAnsi="Times New Roman" w:cs="Times New Roman"/>
        </w:rPr>
        <w:t xml:space="preserve">. </w:t>
      </w:r>
    </w:p>
    <w:p w14:paraId="6EBD2D1B" w14:textId="405A59EC" w:rsidR="009D1183" w:rsidRDefault="009D1183" w:rsidP="009D1183">
      <w:pPr>
        <w:spacing w:line="480" w:lineRule="auto"/>
        <w:ind w:firstLine="720"/>
        <w:rPr>
          <w:rFonts w:ascii="Times New Roman" w:hAnsi="Times New Roman" w:cs="Times New Roman"/>
        </w:rPr>
      </w:pPr>
      <w:r>
        <w:rPr>
          <w:rFonts w:ascii="Times New Roman" w:hAnsi="Times New Roman" w:cs="Times New Roman"/>
        </w:rPr>
        <w:t xml:space="preserve">Within the United States, New York State (NYS) holds a particularly high burden of anaplasmosis, and </w:t>
      </w:r>
      <w:r w:rsidR="00310780">
        <w:rPr>
          <w:rFonts w:ascii="Times New Roman" w:hAnsi="Times New Roman" w:cs="Times New Roman"/>
        </w:rPr>
        <w:t>incidence</w:t>
      </w:r>
      <w:r>
        <w:rPr>
          <w:rFonts w:ascii="Times New Roman" w:hAnsi="Times New Roman" w:cs="Times New Roman"/>
        </w:rPr>
        <w:t xml:space="preserve"> ha</w:t>
      </w:r>
      <w:r w:rsidR="00310780">
        <w:rPr>
          <w:rFonts w:ascii="Times New Roman" w:hAnsi="Times New Roman" w:cs="Times New Roman"/>
        </w:rPr>
        <w:t>s</w:t>
      </w:r>
      <w:r>
        <w:rPr>
          <w:rFonts w:ascii="Times New Roman" w:hAnsi="Times New Roman" w:cs="Times New Roman"/>
        </w:rPr>
        <w:t xml:space="preserve"> increased in the last two decades </w:t>
      </w:r>
      <w:r>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{"citationID":"9AC00ywK","properties":{"formattedCitation":"(Dahlgren et al., 2015; O\\uc0\\u8217{}Connor et al., 2021; Rosenberg et al., 2018; Russell et al., 2021)","plainCitation":"(Dahlgren et al., 2015; O’Connor et al., 2021; Rosenberg et al., 2018; Russell et al., 2021)","noteIndex":0},"citationItems":[{"id":281,"uris":["http://zotero.org/users/6220652/items/6TH2N6P9"],"itemData":{"id":281,"type":"article-journal","abstract":"Human granulocytic anaplasmosis is an acute, febrile illness transmitted by the ticks Ixodes scapularis and Ixodes pacificus in the United States. We present a summary of passive surveillance data for cases of anaplasmosis with onset during 2008–2012. The overall reported incidence rate (IR) was 6.3 cases per million person-years. Cases were reported from 38 states and from New York City, with the highest incidence in Minnesota (IR = 97), Wisconsin (IR = 79), and Rhode Island (IR = 51). Thirty-seven percent of cases were classified as confirmed, almost exclusively by polymerase chain reaction. The reported case fatality rate was 0.3% and the reported hospitalization rate was 31%. IRs, hospitalization rates, life-threatening complications, and case fatality rates increased with age group. The IR increased from 2008 to 2012 and the geographic range of reported cases of anaplasmosis appears to have increased since 2000–2007. Our findings are consistent with previous case series and recent reports of the expanding range of the tick vector I. scapularis.","container-title":"The American Journal of Tropical Medicine and Hygiene","DOI":"10.4269/ajtmh.15-0122","ISSN":"0002-9637, 1476-1645","issue":"1","language":"en","page":"66-72","source":"DOI.org (Crossref)","title":"Human Granulocytic Anaplasmosis in the United States from 2008 to 2012: A Summary of National Surveillance Data","title-short":"Human Granulocytic Anaplasmosis in the United States from 2008 to 2012","URL":"http://www.ajtmh.org/content/journals/10.4269/ajtmh.15-0122","volume":"93","author":[{"family":"Dahlgren","given":"F. Scott"},{"family":"Heitman","given":"Kristen Nichols"},{"family":"Drexler","given":"Naomi A."},{"family":"Massung","given":"Robert F."},{"family":"Behravesh","given":"Casey Barton"}],"accessed":{"date-parts":[["2020",3,22]]},"issued":{"date-parts":[["2015",7,8]]}}},{"id":1517,"uris":["http://zotero.org/users/6220652/items/RFTR3P2A"],"itemData":{"id":1517,"type":"article-journal","abstract":"Abstract\n            Human granulocytic anaplasmosis (HGA) and human babesiosis are tick-borne diseases spread by the blacklegged tick (Ixodes scapularis Say, Acari: Ixodidae) and are the result of infection with Anaplasma phagocytophilum and Babesia microti, respectively. In New York State (NYS), incidence rates of these diseases increased concordantly until around 2013, when rates of HGA began to increase more rapidly than human babesiosis, and the spatial extent of the diseases diverged. Surveillance data of tick-borne pathogens (2007 to 2018) and reported human cases of HGA (n = 4,297) and human babesiosis (n = 2,986) (2013–2018) from the New York State Department of Health (NYSDOH) showed a positive association between the presence/temporal emergence of each pathogen and rates of disease in surrounding areas. Incidence rates of HGA were higher than human babesiosis among White and non-Hispanic/non-Latino individuals, as well as all age and sex groups. Human babesiosis exhibited higher rates among non-White individuals. Climate, weather, and landscape data were used to build a spatially weighted zero-inflated negative binomial (ZINB) model to examine and compare associations between the environment and rates of HGA and human babesiosis. HGA and human babesiosis ZINB models indicated similar associations with forest cover, forest land cover change, and winter minimum temperature; and differing associations with elevation, urban land cover change, and winter precipitation. These results indicate that tick-borne disease ecology varies between pathogens spread by I. scapularis.","container-title":"Journal of Medical Entomology","DOI":"10.1093/jme/tjab107","ISSN":"0022-2585, 1938-2928","issue":"6","journalAbbreviation":"J Med Entomol","language":"en","license":"All rights reserved","page":"2453-2466","source":"DOI.org (Crossref)","title":"A Comparative Spatial and Climate Analysis of Human Granulocytic Anaplasmosis and Human Babesiosis in New York State (2013–2018)","URL":"https://academic.oup.com/jme/article/58/6/2453/6325249","volume":"58","author":[{"family":"O’Connor","given":"Collin"},{"family":"Prusinski","given":"Melissa A"},{"family":"Jiang","given":"Shiguo"},{"family":"Russell","given":"Alexis"},{"family":"White","given":"Jennifer"},{"family":"Falco","given":"Richard"},{"family":"Kokas","given":"John"},{"family":"Vinci","given":"Vanessa"},{"family":"Gall","given":"Wayne"},{"family":"Tober","given":"Keith"},{"family":"Haight","given":"Jamie"},{"family":"Oliver","given":"JoAnne"},{"family":"Meehan","given":"Lisa"},{"family":"Sporn","given":"Lee Ann"},{"family":"Brisson","given":"Dustin"},{"family":"Backenson","given":"P Bryon"}],"editor":[{"family":"Hamer","given":"Sarah"}],"accessed":{"date-parts":[["2021",11,10]]},"issued":{"date-parts":[["2021",11,9]]}}},{"id":1143,"uris":["http://zotero.org/users/6220652/items/GXVU8TYW"],"itemData":{"id":1143,"type":"report","collection-title":"MMWR Morbidity and Mortality Weekly Report","number":"67","page":"496-501","publisher":"Centers for Disease Control and Prevention","title":"&lt;i&gt;Vital Signs&lt;i/&gt;: Trends in Reported Vectorborne DIsease Cases - United States and Territories, 2004 - 2016","URL":"https://www.cdc.gov/mmwr/volumes/67/wr/mm6717e1.htm#suggestedcitation","author":[{"family":"Rosenberg","given":"R"},{"family":"Lindsey","given":"N. P."},{"family":"Fischer","given":"M"}],"issued":{"date-parts":[["2018"]]}}},{"id":1402,"uris":["http://zotero.org/users/6220652/items/DF2NCKZH"],"itemData":{"id":1402,"type":"article-journal","abstract":"Human granulocytic anaplasmosis, a tickborne disease caused by the bacterium Anaplasma phagocytophilum, was first identified during 1994 and is now an emerging public health threat in the United States. New York state (NYS) has experienced a recent increase in the incidence of anaplasmosis. We analyzed human case surveillance and tick surveillance data collected by the NYS Department of Health for spatiotemporal patterns of disease emergence. We describe the epidemiology and growing incidence of anaplasmosis cases reported during 2010-2018. Spatial analysis showed an expanding hot spot of anaplasmosis in the Capital Region, where incidence increased &gt;8-fold. The prevalence of A. phagocytophilum increased greatly within tick populations in the Capital Region over the same period, and entomologic risk factors were correlated with disease incidence at a local level. These results indicate that anaplasmosis is rapidly emerging in a geographically focused area of NYS, likely driven by localized changes in exposure risk.","container-title":"Emerging Infectious Diseases","DOI":"10.3201/eid2708.210133","ISSN":"1080-6059","issue":"8","journalAbbreviation":"Emerg Infect Dis","language":"eng","license":"All rights reserved","note":"PMID: 34287128","page":"2154-2162","source":"PubMed","title":"Epidemiology and Spatial Emergence of Anaplasmosis, New York, USA, 2010‒2018","volume":"27","author":[{"family":"Russell","given":"Alexis"},{"family":"Prusinski","given":"Melissa"},{"family":"Sommer","given":"Jamie"},{"family":"O'Connor","given":"Collin"},{"family":"White","given":"Jennifer"},{"family":"Falco","given":"Richard"},{"family":"Kokas","given":"John"},{"family":"Vinci","given":"Vanessa"},{"family":"Gall","given":"Wayne"},{"family":"Tober","given":"Keith"},{"family":"Haight","given":"Jamie"},{"family":"Oliver","given":"JoAnne"},{"family":"Meehan","given":"Lisa"},{"family":"Sporn","given":"Lee Ann"},{"family":"Brisson","given":"Dustin"},{"family":"Backenson","given":"P. Bryon"}],"issued":{"date-parts":[["2021",8]]}}}],"schema":"https://github.com/citation-style-language/schema/raw/master/csl-citation.json"} </w:instrText>
      </w:r>
      <w:r>
        <w:rPr>
          <w:rFonts w:ascii="Times New Roman" w:hAnsi="Times New Roman" w:cs="Times New Roman"/>
        </w:rPr>
        <w:fldChar w:fldCharType="separate"/>
      </w:r>
      <w:r w:rsidR="00F12320" w:rsidRPr="00F12320">
        <w:rPr>
          <w:rFonts w:ascii="Times New Roman" w:hAnsi="Times New Roman" w:cs="Times New Roman"/>
          <w:kern w:val="0"/>
        </w:rPr>
        <w:t>(Dahlgren et al., 2015; O’Connor et al., 2021; Rosenberg et al., 2018; Russell et al., 2021)</w:t>
      </w:r>
      <w:r>
        <w:rPr>
          <w:rFonts w:ascii="Times New Roman" w:hAnsi="Times New Roman" w:cs="Times New Roman"/>
        </w:rPr>
        <w:fldChar w:fldCharType="end"/>
      </w:r>
      <w:r>
        <w:rPr>
          <w:rFonts w:ascii="Times New Roman" w:hAnsi="Times New Roman" w:cs="Times New Roman"/>
        </w:rPr>
        <w:t xml:space="preserve">. Recent </w:t>
      </w:r>
      <w:r w:rsidR="00E867F9">
        <w:rPr>
          <w:rFonts w:ascii="Times New Roman" w:hAnsi="Times New Roman" w:cs="Times New Roman"/>
        </w:rPr>
        <w:t>tick-borne disease (TBD)</w:t>
      </w:r>
      <w:r>
        <w:rPr>
          <w:rFonts w:ascii="Times New Roman" w:hAnsi="Times New Roman" w:cs="Times New Roman"/>
        </w:rPr>
        <w:t xml:space="preserve"> research in NYS has identified an area of increased risk for anaplasmosis which grew in total area from 2010 – 2018, likely attributable to the geographic delineation and spatial expansion of two primary </w:t>
      </w:r>
      <w:r>
        <w:rPr>
          <w:rFonts w:ascii="Times New Roman" w:hAnsi="Times New Roman" w:cs="Times New Roman"/>
          <w:i/>
          <w:iCs/>
        </w:rPr>
        <w:t xml:space="preserve">A. phagocytophilum </w:t>
      </w:r>
      <w:r>
        <w:rPr>
          <w:rFonts w:ascii="Times New Roman" w:hAnsi="Times New Roman" w:cs="Times New Roman"/>
        </w:rPr>
        <w:t xml:space="preserve">variants, the pathogenic “human-active” variant (Ap-ha) and the non-pathogenic “Variant-1” (Ap-V1) </w:t>
      </w:r>
      <w:r>
        <w:rPr>
          <w:rFonts w:ascii="Times New Roman" w:hAnsi="Times New Roman" w:cs="Times New Roman"/>
        </w:rPr>
        <w:fldChar w:fldCharType="begin"/>
      </w:r>
      <w:r w:rsidR="002958FE">
        <w:rPr>
          <w:rFonts w:ascii="Times New Roman" w:hAnsi="Times New Roman" w:cs="Times New Roman"/>
        </w:rPr>
        <w:instrText xml:space="preserve"> ADDIN ZOTERO_ITEM CSL_CITATION {"citationID":"78g8lrOw","properties":{"formattedCitation":"(Massung et al., 2002; Robert F. Massung et al., 2003; Massung et al., 2005; Prusinski et al., 2023; Russell et al., 2021)","plainCitation":"(Massung et al., 2002; Robert F. Massung et al., 2003; Massung et al., 2005; Prusinski et al., 2023; Russell et al., 2021)","noteIndex":0},"citationItems":[{"id":1417,"uris":["http://zotero.org/users/6220652/items/8DSNLRVF"],"itemData":{"id":1417,"type":"article-journal","container-title":"Emerging Infectious Diseases","DOI":"10.3201/eid0805.010251","ISSN":"1080-6040, 1080-6059","issue":"5","journalAbbreviation":"Emerg. Infect. Dis.","page":"467-472","source":"DOI.org (Crossref)","title":"Genetic Variants of &lt;i&gt;Ehrlichia phagocytophila&lt;/i&gt; 1 &lt;i&gt;,&lt;/i&gt; Rhode Island and Connecticut","URL":"http://wwwnc.cdc.gov/eid/article/8/5/01-0251_article.htm","volume":"8","author":[{"family":"Massung","given":"Robert F."},{"family":"Mauel","given":"Michael J."},{"family":"Owens","given":"Jessica H."},{"family":"Allan","given":"Nancy"},{"family":"Courtney","given":"Joshua W."},{"family":"Stafford","given":"Kirby C."},{"family":"Mather","given":"Thomas N."}],"accessed":{"date-parts":[["2021",8,2]]},"issued":{"date-parts":[["2002",5]]}}},{"id":273,"uris":["http://zotero.org/users/6220652/items/TXHCM84M"],"itemData":{"id":273,"type":"article-journal","abstract":"We examined the reservoir potential of white-tailed deer for Anaplasma phagocytophilum. Results suggest that white-tailed deer harbor a variant strain not associated with human infection, but contrary to published reports, white-tailed deer are not a reservoir for strains that cause human disease. These results will affect surveillance studies of vector and reservoir populations.","container-title":"Emerging Infectious Diseases","DOI":"10.3201/eid1110.041329","ISSN":"1080-6040","issue":"10","journalAbbreviation":"Emerg Infect Dis","language":"eng","note":"PMID: 16318705\nPMCID: PMC3366735","page":"1604-1606","source":"PubMed","title":"&lt;i&gt;Anaplasma phagocytophilum &lt;/i&gt; in White-tailed Deer","volume":"11","author":[{"family":"Massung","given":"Robert F."},{"family":"Courtney","given":"Joshua W."},{"family":"Hiratzka","given":"Shannon L."},{"family":"Pitzer","given":"Virginia E."},{"family":"Smith","given":"Gary"},{"family":"Dryden","given":"Richard L."}],"issued":{"date-parts":[["2005",10]]}},"label":"page"},{"id":264,"uris":["http://zotero.org/users/6220652/items/QKQ4QKLH"],"itemData":{"id":264,"type":"article-journal","abstract":"Nymphal Ixodes scapularis ticks were collected from several sites in Rhode Island. DNA was extracted from a subset of these ticks, and PCR and DNA sequencing of the 16S rRNA gene were used to determine the ratio of Anaplasma phagocytophila-human agent (AP-ha) to a genetic variant not associated with human disease (AP-Variant 1). The remaining ticks were allowed to feed to repletion on either white-footed (Peromyscus leucopus) or DBA/2 (Mus musculus) mice. The engorged ticks, and blood samples drawn from each mouse at one-week intervals, were evaluated by PCR and DNA sequencing for the presence of AP-ha and Variant 1. Although a high percentage of the infecting ticks harbored AP-Variant 1, only AP-ha was amplified from the mouse blood samples. Because the A. phagocytophila variant did not establish an infection either in the natural reservoir of AP-ha, the white-footed mouse, or in a common research laboratory mouse (DBA/2), AP-Variant 1 may have an alternative natural reservoir, possibly the white-tailed deer.","container-title":"Annals of the New York Academy of Sciences","DOI":"10.1111/j.1749-6632.2003.tb07340.x","ISSN":"0077-8923","issue":"1","journalAbbreviation":"Ann N Y Acad Sci","language":"eng","page":"75-79","source":"PubMed","title":"Transmission Efficiency of the AP-Variant 1 Strain of &lt;i&gt; Anaplasma phagocytophila &lt;/i&gt;","volume":"990","author":[{"family":"Massung","given":"Robert F."},{"family":"Mather","given":"Thomas N."},{"family":"Priestley","given":"Rachael A."},{"family":"Levin","given":"Michael L."}],"issued":{"date-parts":[["2003"]]}},"label":"page"},{"id":2332,"uris":["http://zotero.org/users/6220652/items/7I9L73YH"],"itemData":{"id":2332,"type":"article-journal","container-title":"Emerging Infectious Diseases","DOI":"10.3201/eid2903.220320","ISSN":"1080-6040, 1080-6059","issue":"3","journalAbbreviation":"Emerg. Infect. Dis.","license":"All rights reserved","source":"DOI.org (Crossref)","title":"Associations of &lt;i&gt;Anaplasma phagocytophilum&lt;/i&gt; Bacteria Variants in &lt;i&gt;Ixodes scapularis&lt;/i&gt; Ticks and Humans, New York, USA","URL":"https://wwwnc.cdc.gov/eid/article/29/3/22-0320_article","volume":"29","author":[{"family":"Prusinski","given":"Melissa"},{"family":"O’Connor","given":"Collin"},{"family":"Russell","given":"Alexis"},{"family":"Sommer","given":"Jamie"},{"family":"White","given":"Jennifer"},{"family":"Rose","given":"Lauren"},{"family":"Falco","given":"Richard"},{"family":"Kokas","given":"John"},{"family":"Vinci","given":"Vanessa"},{"family":"Gall","given":"Wayne"},{"family":"Tober","given":"Keith"},{"family":"Haight","given":"Jamie"},{"family":"Oliver","given":"JoAnne"},{"family":"Meehan","given":"Lisa"},{"family":"Sporn","given":"Lee Ann"},{"family":"Brisson","given":"Dustin"},{"family":"Backenson","given":"P. Bryon"}],"accessed":{"date-parts":[["2023",3,13]]},"issued":{"date-parts":[["2023",3]]}}},{"id":1402,"uris":["http://zotero.org/users/6220652/items/DF2NCKZH"],"itemData":{"id":1402,"type":"article-journal","abstract":"Human granulocytic anaplasmosis, a tickborne disease caused by the bacterium Anaplasma phagocytophilum, was first identified during 1994 and is now an emerging public health threat in the United States. New York state (NYS) has experienced a recent increase in the incidence of anaplasmosis. We analyzed human case surveillance and tick surveillance data collected by the NYS Department of Health for spatiotemporal patterns of disease emergence. We describe the epidemiology and growing incidence of anaplasmosis cases reported during 2010-2018. Spatial analysis showed an expanding hot spot of anaplasmosis in the Capital Region, where incidence increased &gt;8-fold. The prevalence of A. phagocytophilum increased greatly within tick populations in the Capital Region over the same period, and entomologic risk factors were correlated with disease incidence at a local level. These results indicate that anaplasmosis is rapidly emerging in a geographically focused area of NYS, likely driven by localized changes in exposure risk.","container-title":"Emerging Infectious Diseases","DOI":"10.3201/eid2708.210133","ISSN":"1080-6059","issue":"8","journalAbbreviation":"Emerg Infect Dis","language":"eng","license":"All rights reserved","note":"PMID: 34287128","page":"2154-2162","source":"PubMed","title":"Epidemiology and Spatial Emergence of Anaplasmosis, New York, USA, 2010‒2018","volume":"27","author":[{"family":"Russell","given":"Alexis"},{"family":"Prusinski","given":"Melissa"},{"family":"Sommer","given":"Jamie"},{"family":"O'Connor","given":"Collin"},{"family":"White","given":"Jennifer"},{"family":"Falco","given":"Richard"},{"family":"Kokas","given":"John"},{"family":"Vinci","given":"Vanessa"},{"family":"Gall","given":"Wayne"},{"family":"Tober","given":"Keith"},{"family":"Haight","given":"Jamie"},{"family":"Oliver","given":"JoAnne"},{"family":"Meehan","given":"Lisa"},{"family":"Sporn","given":"Lee Ann"},{"family":"Brisson","given":"Dustin"},{"family":"Backenson","given":"P. Bryon"}],"issued":{"date-parts":[["2021",8]]}}}],"schema":"https://github.com/citation-style-language/schema/raw/master/csl-citation.json"} </w:instrText>
      </w:r>
      <w:r>
        <w:rPr>
          <w:rFonts w:ascii="Times New Roman" w:hAnsi="Times New Roman" w:cs="Times New Roman"/>
        </w:rPr>
        <w:fldChar w:fldCharType="separate"/>
      </w:r>
      <w:r w:rsidR="002958FE">
        <w:rPr>
          <w:rFonts w:ascii="Times New Roman" w:hAnsi="Times New Roman" w:cs="Times New Roman"/>
          <w:noProof/>
        </w:rPr>
        <w:t>(Massung et al., 2002; Robert F. Massung et al., 2003; Massung et al., 2005; Prusinski et al., 2023; Russell et al., 2021)</w:t>
      </w:r>
      <w:r>
        <w:rPr>
          <w:rFonts w:ascii="Times New Roman" w:hAnsi="Times New Roman" w:cs="Times New Roman"/>
        </w:rPr>
        <w:fldChar w:fldCharType="end"/>
      </w:r>
      <w:r>
        <w:rPr>
          <w:rFonts w:ascii="Times New Roman" w:hAnsi="Times New Roman" w:cs="Times New Roman"/>
        </w:rPr>
        <w:t>. Despite being present within the same sub-national boundary, each genetic variant exhibits a distinct epidemiological cycle; the white-footed mouse (</w:t>
      </w:r>
      <w:r>
        <w:rPr>
          <w:rFonts w:ascii="Times New Roman" w:hAnsi="Times New Roman" w:cs="Times New Roman"/>
          <w:i/>
          <w:iCs/>
        </w:rPr>
        <w:t>Peromyscus leucopus</w:t>
      </w:r>
      <w:r>
        <w:rPr>
          <w:rFonts w:ascii="Times New Roman" w:hAnsi="Times New Roman" w:cs="Times New Roman"/>
        </w:rPr>
        <w:t xml:space="preserve">) </w:t>
      </w:r>
      <w:r w:rsidR="003C4969">
        <w:rPr>
          <w:rFonts w:ascii="Times New Roman" w:hAnsi="Times New Roman" w:cs="Times New Roman"/>
        </w:rPr>
        <w:t>is the natural reservoir of Ap-ha, and the white-tailed deer (</w:t>
      </w:r>
      <w:r w:rsidR="003C4969">
        <w:rPr>
          <w:rFonts w:ascii="Times New Roman" w:hAnsi="Times New Roman" w:cs="Times New Roman"/>
          <w:i/>
          <w:iCs/>
        </w:rPr>
        <w:t>Odocoileus virginianus</w:t>
      </w:r>
      <w:r w:rsidR="003C4969">
        <w:rPr>
          <w:rFonts w:ascii="Times New Roman" w:hAnsi="Times New Roman" w:cs="Times New Roman"/>
        </w:rPr>
        <w:t xml:space="preserve">) is </w:t>
      </w:r>
      <w:r>
        <w:rPr>
          <w:rFonts w:ascii="Times New Roman" w:hAnsi="Times New Roman" w:cs="Times New Roman"/>
        </w:rPr>
        <w:t xml:space="preserve">the natural reservoir of Ap-V1 </w:t>
      </w:r>
      <w:r>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{"citationID":"0aqmqMdH","properties":{"formattedCitation":"(Massung et al., 2002)","plainCitation":"(Massung et al., 2002)","noteIndex":0},"citationItems":[{"id":1417,"uris":["http://zotero.org/users/6220652/items/8DSNLRVF"],"itemData":{"id":1417,"type":"article-journal","container-title":"Emerging Infectious Diseases","DOI":"10.3201/eid0805.010251","ISSN":"1080-6040, 1080-6059","issue":"5","journalAbbreviation":"Emerg. Infect. Dis.","page":"467-472","source":"DOI.org (Crossref)","title":"Genetic Variants of &lt;i&gt;Ehrlichia phagocytophila&lt;/i&gt; 1 &lt;i&gt;,&lt;/i&gt; Rhode Island and Connecticut","URL":"http://wwwnc.cdc.gov/eid/article/8/5/01-0251_article.htm","volume":"8","author":[{"family":"Massung","given":"Robert F."},{"family":"Mauel","given":"Michael J."},{"family":"Owens","given":"Jessica H."},{"family":"Allan","given":"Nancy"},{"family":"Courtney","given":"Joshua W."},{"family":"Stafford","given":"Kirby C."},{"family":"Mather","given":"Thomas N."}],"accessed":{"date-parts":[["2021",8,2]]},"issued":{"date-parts":[["2002",5]]}}}],"schema":"https://github.com/citation-style-language/schema/raw/master/csl-citation.json"} </w:instrText>
      </w:r>
      <w:r>
        <w:rPr>
          <w:rFonts w:ascii="Times New Roman" w:hAnsi="Times New Roman" w:cs="Times New Roman"/>
        </w:rPr>
        <w:fldChar w:fldCharType="separate"/>
      </w:r>
      <w:r w:rsidR="00F12320">
        <w:rPr>
          <w:rFonts w:ascii="Times New Roman" w:hAnsi="Times New Roman" w:cs="Times New Roman"/>
          <w:noProof/>
        </w:rPr>
        <w:t>(Massung et al., 2002)</w:t>
      </w:r>
      <w:r>
        <w:rPr>
          <w:rFonts w:ascii="Times New Roman" w:hAnsi="Times New Roman" w:cs="Times New Roman"/>
        </w:rPr>
        <w:fldChar w:fldCharType="end"/>
      </w:r>
      <w:r>
        <w:rPr>
          <w:rFonts w:ascii="Times New Roman" w:hAnsi="Times New Roman" w:cs="Times New Roman"/>
        </w:rPr>
        <w:t xml:space="preserve">. </w:t>
      </w:r>
      <w:r w:rsidR="003C4969">
        <w:rPr>
          <w:rFonts w:ascii="Times New Roman" w:hAnsi="Times New Roman" w:cs="Times New Roman"/>
        </w:rPr>
        <w:t>Previous research has</w:t>
      </w:r>
      <w:r>
        <w:rPr>
          <w:rFonts w:ascii="Times New Roman" w:hAnsi="Times New Roman" w:cs="Times New Roman"/>
        </w:rPr>
        <w:t xml:space="preserve"> shown that each variant is unable to infect the other’s primary host, adding another layer of separation between these epidemiological cycles </w:t>
      </w:r>
      <w:r>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{"citationID":"vrMGLOKV","properties":{"formattedCitation":"(Massung et al., 2005; Robert\\uc0\\u160{}F. Massung et al., 2003)","plainCitation":"(Massung et al., 2005; Robert F. Massung et al., 2003)","noteIndex":0},"citationItems":[{"id":273,"uris":["http://zotero.org/users/6220652/items/TXHCM84M"],"itemData":{"id":273,"type":"article-journal","abstract":"We examined the reservoir potential of white-tailed deer for Anaplasma phagocytophilum. Results suggest that white-tailed deer harbor a variant strain not associated with human infection, but contrary to published reports, white-tailed deer are not a reservoir for strains that cause human disease. These results will affect surveillance studies of vector and reservoir populations.","container-title":"Emerging Infectious Diseases","DOI":"10.3201/eid1110.041329","ISSN":"1080-6040","issue":"10","journalAbbreviation":"Emerg Infect Dis","language":"eng","note":"PMID: 16318705\nPMCID: PMC3366735","page":"1604-1606","source":"PubMed","title":"&lt;i&gt;Anaplasma phagocytophilum &lt;/i&gt; in White-tailed Deer","volume":"11","author":[{"family":"Massung","given":"Robert F."},{"family":"Courtney","given":"Joshua W."},{"family":"Hiratzka","given":"Shannon L."},{"family":"Pitzer","given":"Virginia E."},{"family":"Smith","given":"Gary"},{"family":"Dryden","given":"Richard L."}],"issued":{"date-parts":[["2005",10]]}},"label":"page"},{"id":272,"uris":["http://zotero.org/users/6220652/items/NIWB8LDE"],"itemData":{"id":272,"type":"article-journal","container-title":"The Journal of Infectious Diseases","DOI":"10.1086/379725","ISSN":"0022-1899, 1537-6613","issue":"11","journalAbbreviation":"J Infect Dis","language":"en","page":"1757-1763","source":"DOI.org (Crossref)","title":"Inability of a Variant Strain of &lt;i&gt;Anaplasma phagocytophilum&lt;/i&gt; to Infect Mice","URL":"https://academic.oup.com/jid/article-lookup/doi/10.1086/379725","volume":"188","author":[{"family":"Massung","given":"Robert F."},{"family":"Priestley","given":"Rachael A."},{"family":"Miller","given":"Nathan J."},{"family":"Mather","given":"Thomas N."},{"family":"Levin","given":"Michael L."}],"accessed":{"date-parts":[["2020",3,22]]},"issued":{"date-parts":[["2003",12]]}},"label":"page"}],"schema":"https://github.com/citation-style-language/schema/raw/master/csl-citation.json"} </w:instrText>
      </w:r>
      <w:r>
        <w:rPr>
          <w:rFonts w:ascii="Times New Roman" w:hAnsi="Times New Roman" w:cs="Times New Roman"/>
        </w:rPr>
        <w:fldChar w:fldCharType="separate"/>
      </w:r>
      <w:r w:rsidR="00F12320" w:rsidRPr="00F12320">
        <w:rPr>
          <w:rFonts w:ascii="Times New Roman" w:hAnsi="Times New Roman" w:cs="Times New Roman"/>
          <w:kern w:val="0"/>
        </w:rPr>
        <w:t>(Massung et al., 2005; Robert F. Massung et al., 2003)</w:t>
      </w:r>
      <w:r>
        <w:rPr>
          <w:rFonts w:ascii="Times New Roman" w:hAnsi="Times New Roman" w:cs="Times New Roman"/>
        </w:rPr>
        <w:fldChar w:fldCharType="end"/>
      </w:r>
      <w:r>
        <w:rPr>
          <w:rFonts w:ascii="Times New Roman" w:hAnsi="Times New Roman" w:cs="Times New Roman"/>
        </w:rPr>
        <w:t xml:space="preserve">. As Ap-ha </w:t>
      </w:r>
      <w:r>
        <w:rPr>
          <w:rFonts w:ascii="Times New Roman" w:hAnsi="Times New Roman" w:cs="Times New Roman"/>
          <w:i/>
          <w:iCs/>
        </w:rPr>
        <w:t>A. phagocytophilum</w:t>
      </w:r>
      <w:r>
        <w:rPr>
          <w:rFonts w:ascii="Times New Roman" w:hAnsi="Times New Roman" w:cs="Times New Roman"/>
        </w:rPr>
        <w:t xml:space="preserve"> expands into locations with historically low incidence of anaplasmosis, understanding how the epidemiological cycles of both genetic variants will impact anaplasmosis </w:t>
      </w:r>
      <w:r w:rsidR="00310780">
        <w:rPr>
          <w:rFonts w:ascii="Times New Roman" w:hAnsi="Times New Roman" w:cs="Times New Roman"/>
        </w:rPr>
        <w:t xml:space="preserve">risk </w:t>
      </w:r>
      <w:r>
        <w:rPr>
          <w:rFonts w:ascii="Times New Roman" w:hAnsi="Times New Roman" w:cs="Times New Roman"/>
        </w:rPr>
        <w:t>will remain an important topic for scientific research and public health mitigation efforts.</w:t>
      </w:r>
    </w:p>
    <w:p w14:paraId="2298240F" w14:textId="5614BB0A" w:rsidR="00E13456" w:rsidRPr="00FE7A62" w:rsidRDefault="009D1183" w:rsidP="003C4969">
      <w:pPr>
        <w:spacing w:line="480" w:lineRule="auto"/>
        <w:ind w:firstLine="720"/>
        <w:rPr>
          <w:rFonts w:ascii="Times New Roman" w:hAnsi="Times New Roman" w:cs="Times New Roman"/>
        </w:rPr>
      </w:pPr>
      <w:r>
        <w:rPr>
          <w:rFonts w:ascii="Times New Roman" w:hAnsi="Times New Roman" w:cs="Times New Roman"/>
        </w:rPr>
        <w:t xml:space="preserve">One framework used to describe the establishment and spread of </w:t>
      </w:r>
      <w:r>
        <w:rPr>
          <w:rFonts w:ascii="Times New Roman" w:hAnsi="Times New Roman" w:cs="Times New Roman"/>
          <w:i/>
          <w:iCs/>
        </w:rPr>
        <w:t xml:space="preserve">I. scapularis </w:t>
      </w:r>
      <w:r>
        <w:rPr>
          <w:rFonts w:ascii="Times New Roman" w:hAnsi="Times New Roman" w:cs="Times New Roman"/>
        </w:rPr>
        <w:t xml:space="preserve">and its pathogens is the pathogen-vector-host system </w:t>
      </w:r>
      <w:r w:rsidR="0031541F">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{"citationID":"duGXQzwI","properties":{"formattedCitation":"(Killilea et al., 2008)","plainCitation":"(Killilea et al., 2008)","noteIndex":0},"citationItems":[{"id":1970,"uris":["http://zotero.org/users/6220652/items/IKPVVP73"],"itemData":{"id":1970,"type":"article-journal","container-title":"EcoHealth","DOI":"10.1007/s10393-008-0171-3","ISSN":"1612-9202, 1612-9210","issue":"2","journalAbbreviation":"EcoHealth","language":"en","page":"167-195","source":"DOI.org (Crossref)","title":"Spatial Dynamics of Lyme Disease: A Review","title-short":"Spatial Dynamics of Lyme Disease","URL":"http://link.springer.com/10.1007/s10393-008-0171-3","volume":"5","author":[{"family":"Killilea","given":"Mary E."},{"family":"Swei","given":"Andrea"},{"family":"Lane","given":"Robert S."},{"family":"Briggs","given":"Cheryl J."},{"family":"Ostfeld","given":"Richard S."}],"accessed":{"date-parts":[["2022",4,13]]},"issued":{"date-parts":[["2008",6]]}}}],"schema":"https://github.com/citation-style-language/schema/raw/master/csl-citation.json"} </w:instrText>
      </w:r>
      <w:r w:rsidR="0031541F">
        <w:rPr>
          <w:rFonts w:ascii="Times New Roman" w:hAnsi="Times New Roman" w:cs="Times New Roman"/>
        </w:rPr>
        <w:fldChar w:fldCharType="separate"/>
      </w:r>
      <w:r w:rsidR="00F12320">
        <w:rPr>
          <w:rFonts w:ascii="Times New Roman" w:hAnsi="Times New Roman" w:cs="Times New Roman"/>
          <w:noProof/>
        </w:rPr>
        <w:t>(Killilea et al., 2008)</w:t>
      </w:r>
      <w:r w:rsidR="0031541F">
        <w:rPr>
          <w:rFonts w:ascii="Times New Roman" w:hAnsi="Times New Roman" w:cs="Times New Roman"/>
        </w:rPr>
        <w:fldChar w:fldCharType="end"/>
      </w:r>
      <w:r>
        <w:rPr>
          <w:rFonts w:ascii="Times New Roman" w:hAnsi="Times New Roman" w:cs="Times New Roman"/>
        </w:rPr>
        <w:t xml:space="preserve">. As much of tick-borne disease research focuses on Lyme disease, the pathogen-vector-host system has historically been used to describe how </w:t>
      </w:r>
      <w:r>
        <w:rPr>
          <w:rFonts w:ascii="Times New Roman" w:hAnsi="Times New Roman" w:cs="Times New Roman"/>
          <w:i/>
          <w:iCs/>
        </w:rPr>
        <w:t xml:space="preserve">Borrelia burgdorferi </w:t>
      </w:r>
      <w:r>
        <w:rPr>
          <w:rFonts w:ascii="Times New Roman" w:hAnsi="Times New Roman" w:cs="Times New Roman"/>
        </w:rPr>
        <w:t xml:space="preserve">(the causative agent of Lyme disease) is spread </w:t>
      </w:r>
      <w:r>
        <w:rPr>
          <w:rFonts w:ascii="Times New Roman" w:hAnsi="Times New Roman" w:cs="Times New Roman"/>
        </w:rPr>
        <w:lastRenderedPageBreak/>
        <w:t xml:space="preserve">between its primary reservoir hosts (white-footed mice) and how </w:t>
      </w:r>
      <w:r>
        <w:rPr>
          <w:rFonts w:ascii="Times New Roman" w:hAnsi="Times New Roman" w:cs="Times New Roman"/>
          <w:i/>
          <w:iCs/>
        </w:rPr>
        <w:t xml:space="preserve">I. scapularis </w:t>
      </w:r>
      <w:r>
        <w:rPr>
          <w:rFonts w:ascii="Times New Roman" w:hAnsi="Times New Roman" w:cs="Times New Roman"/>
        </w:rPr>
        <w:t xml:space="preserve">uses </w:t>
      </w:r>
      <w:r w:rsidR="00D17BF1">
        <w:rPr>
          <w:rFonts w:ascii="Times New Roman" w:hAnsi="Times New Roman" w:cs="Times New Roman"/>
        </w:rPr>
        <w:t xml:space="preserve">reproductive-stage </w:t>
      </w:r>
      <w:r>
        <w:rPr>
          <w:rFonts w:ascii="Times New Roman" w:hAnsi="Times New Roman" w:cs="Times New Roman"/>
        </w:rPr>
        <w:t xml:space="preserve">hosts (white-tailed deer) to aid in reproductive success </w:t>
      </w:r>
      <w:r w:rsidR="00331E65">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{"citationID":"q40y2pu8","properties":{"formattedCitation":"(Mather et al., 1989; Piesman and Spielman, 1979)","plainCitation":"(Mather et al., 1989; Piesman and Spielman, 1979)","noteIndex":0},"citationItems":[{"id":2649,"uris":["http://zotero.org/users/6220652/items/JFQTLBJV"],"itemData":{"id":2649,"type":"article-journal","container-title":"American Journal of Epidemiology","DOI":"10.1093/oxfordjournals.aje.a115306","ISSN":"1476-6256, 0002-9262","issue":"1","language":"en","page":"143-150","source":"DOI.org (Crossref)","title":"COMPARING THE RELATIVE POTENTIAL OF RODENTS AS RESERVOIRS OF THE LYME DISEASE SPIROCHETE (BORRELIABURGDORFERI)","URL":"https://academic.oup.com/aje/article/59539/COMPARING","volume":"130","author":[{"family":"Mather","given":"Thomas N."},{"family":"Wilson","given":"Mark L."},{"family":"Moore","given":"Sean I."},{"family":"Ribeiro","given":"Jose M. C"},{"family":"Spielman","given":"Andrew"}],"accessed":{"date-parts":[["2024",5,29]]},"issued":{"date-parts":[["1989",7]]}}},{"id":1963,"uris":["http://zotero.org/users/6220652/items/6QV9UQJE"],"itemData":{"id":1963,"type":"article-journal","container-title":"Annals of the Entomological Society of America","DOI":"10.1093/aesa/72.6.829","ISSN":"1938-2901, 0013-8746","issue":"6","language":"en","page":"829-832","source":"DOI.org (Crossref)","title":"Host-Associations and Seasonal Abundance of Immature Ixodes dammini in Southeastern Massachusetts","URL":"https://academic.oup.com/aesa/article-lookup/doi/10.1093/aesa/72.6.829","volume":"72","author":[{"family":"Piesman","given":"Joseph"},{"family":"Spielman","given":"Andrew"}],"accessed":{"date-parts":[["2022",4,11]]},"issued":{"date-parts":[["1979",11,15]]}}}],"schema":"https://github.com/citation-style-language/schema/raw/master/csl-citation.json"} </w:instrText>
      </w:r>
      <w:r w:rsidR="00331E65">
        <w:rPr>
          <w:rFonts w:ascii="Times New Roman" w:hAnsi="Times New Roman" w:cs="Times New Roman"/>
        </w:rPr>
        <w:fldChar w:fldCharType="separate"/>
      </w:r>
      <w:r w:rsidR="00F12320">
        <w:rPr>
          <w:rFonts w:ascii="Times New Roman" w:hAnsi="Times New Roman" w:cs="Times New Roman"/>
          <w:noProof/>
        </w:rPr>
        <w:t>(Mather et al., 1989; Piesman and Spielman, 1979)</w:t>
      </w:r>
      <w:r w:rsidR="00331E65">
        <w:rPr>
          <w:rFonts w:ascii="Times New Roman" w:hAnsi="Times New Roman" w:cs="Times New Roman"/>
        </w:rPr>
        <w:fldChar w:fldCharType="end"/>
      </w:r>
      <w:r w:rsidR="0031541F">
        <w:rPr>
          <w:rFonts w:ascii="Times New Roman" w:hAnsi="Times New Roman" w:cs="Times New Roman"/>
        </w:rPr>
        <w:t>.</w:t>
      </w:r>
      <w:r>
        <w:rPr>
          <w:rFonts w:ascii="Times New Roman" w:hAnsi="Times New Roman" w:cs="Times New Roman"/>
        </w:rPr>
        <w:t xml:space="preserve"> Notably, white-tailed deer are poor reservoirs for </w:t>
      </w:r>
      <w:r>
        <w:rPr>
          <w:rFonts w:ascii="Times New Roman" w:hAnsi="Times New Roman" w:cs="Times New Roman"/>
          <w:i/>
          <w:iCs/>
        </w:rPr>
        <w:t>B. burgdorferi</w:t>
      </w:r>
      <w:r>
        <w:rPr>
          <w:rFonts w:ascii="Times New Roman" w:hAnsi="Times New Roman" w:cs="Times New Roman"/>
        </w:rPr>
        <w:t xml:space="preserve">, which has prompted continued debate about </w:t>
      </w:r>
      <w:r w:rsidR="003C4969">
        <w:rPr>
          <w:rFonts w:ascii="Times New Roman" w:hAnsi="Times New Roman" w:cs="Times New Roman"/>
        </w:rPr>
        <w:t>the mammal’s</w:t>
      </w:r>
      <w:r>
        <w:rPr>
          <w:rFonts w:ascii="Times New Roman" w:hAnsi="Times New Roman" w:cs="Times New Roman"/>
        </w:rPr>
        <w:t xml:space="preserve"> role in spreading the pathogen </w:t>
      </w:r>
      <w:r w:rsidR="0031541F">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{"citationID":"GeGi7NyY","properties":{"formattedCitation":"(Telford et al., 1988)","plainCitation":"(Telford et al., 1988)","noteIndex":0},"citationItems":[{"id":1453,"uris":["http://zotero.org/users/6220652/items/WV6837MW"],"itemData":{"id":1453,"type":"article-journal","abstract":"To determine whether deer may serve as reservoir hosts for the Lyme disease spirochete, we sought evidence of infection in nymphal Ixodes dammini derived from larvae that had engorged on white-tailed deer. A total of 19 deer were shot in two Lyme disease foci in Massachusetts during September 1986, the season in which larvae were most abundant. An average of 342 larval ticks of this species were collected from each deer. Of those that developed to the nymphal stage, the gut contents of 185 were examined for Borrelia burgdorferi by a direct fluorescent antibody test. Spirochetes were detected in about 1% of these nymphs, a rate of infection attributable to transovarial transmission. In contrast, infection was detected in 23% of 39 field-swept nymphal ticks of the same cohort that were collected during the following season. Although deer may be infested by numerous larval I. dammini, such ticks appear not to become infected by Lyme disease spirochetes.","container-title":"The American Journal of Tropical Medicine and Hygiene","DOI":"10.4269/ajtmh.1988.39.105","ISSN":"0002-9637","issue":"1","journalAbbreviation":"Am J Trop Med Hyg","language":"eng","note":"PMID: 3400797","page":"105-109","source":"PubMed","title":"Incompetence of deer as reservoirs of the Lyme disease spirochete","volume":"39","author":[{"family":"Telford","given":"S. R."},{"family":"Mather","given":"T. N."},{"family":"Moore","given":"S. I."},{"family":"Wilson","given":"M. L."},{"family":"Spielman","given":"A."}],"issued":{"date-parts":[["1988",7]]}}}],"schema":"https://github.com/citation-style-language/schema/raw/master/csl-citation.json"} </w:instrText>
      </w:r>
      <w:r w:rsidR="0031541F">
        <w:rPr>
          <w:rFonts w:ascii="Times New Roman" w:hAnsi="Times New Roman" w:cs="Times New Roman"/>
        </w:rPr>
        <w:fldChar w:fldCharType="separate"/>
      </w:r>
      <w:r w:rsidR="00F12320">
        <w:rPr>
          <w:rFonts w:ascii="Times New Roman" w:hAnsi="Times New Roman" w:cs="Times New Roman"/>
          <w:noProof/>
        </w:rPr>
        <w:t>(Telford et al., 1988)</w:t>
      </w:r>
      <w:r w:rsidR="0031541F">
        <w:rPr>
          <w:rFonts w:ascii="Times New Roman" w:hAnsi="Times New Roman" w:cs="Times New Roman"/>
        </w:rPr>
        <w:fldChar w:fldCharType="end"/>
      </w:r>
      <w:r>
        <w:rPr>
          <w:rFonts w:ascii="Times New Roman" w:hAnsi="Times New Roman" w:cs="Times New Roman"/>
        </w:rPr>
        <w:t xml:space="preserve">. Two competing hypotheses are the dilution-effect and the amplification-effect </w:t>
      </w:r>
      <w:r w:rsidR="00331E65">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{"citationID":"Pa1vPjz2","properties":{"formattedCitation":"(Ogden and Tsao, 2009)","plainCitation":"(Ogden and Tsao, 2009)","noteIndex":0},"citationItems":[{"id":1338,"uris":["http://zotero.org/users/6220652/items/268DR337"],"itemData":{"id":1338,"type":"article-journal","container-title":"Epidemics","DOI":"10.1016/j.epidem.2009.06.002","ISSN":"17554365","issue":"3","journalAbbreviation":"Epidemics","language":"en","page":"196-206","source":"DOI.org (Crossref)","title":"Biodiversity and Lyme disease: Dilution or amplification?","title-short":"Biodiversity and Lyme disease","URL":"https://linkinghub.elsevier.com/retrieve/pii/S1755436509000322","volume":"1","author":[{"family":"Ogden","given":"N.H."},{"family":"Tsao","given":"J.I."}],"accessed":{"date-parts":[["2021",7,13]]},"issued":{"date-parts":[["2009",9]]}}}],"schema":"https://github.com/citation-style-language/schema/raw/master/csl-citation.json"} </w:instrText>
      </w:r>
      <w:r w:rsidR="00331E65">
        <w:rPr>
          <w:rFonts w:ascii="Times New Roman" w:hAnsi="Times New Roman" w:cs="Times New Roman"/>
        </w:rPr>
        <w:fldChar w:fldCharType="separate"/>
      </w:r>
      <w:r w:rsidR="00F12320">
        <w:rPr>
          <w:rFonts w:ascii="Times New Roman" w:hAnsi="Times New Roman" w:cs="Times New Roman"/>
          <w:noProof/>
        </w:rPr>
        <w:t>(Ogden and Tsao, 2009)</w:t>
      </w:r>
      <w:r w:rsidR="00331E65">
        <w:rPr>
          <w:rFonts w:ascii="Times New Roman" w:hAnsi="Times New Roman" w:cs="Times New Roman"/>
        </w:rPr>
        <w:fldChar w:fldCharType="end"/>
      </w:r>
      <w:r>
        <w:rPr>
          <w:rFonts w:ascii="Times New Roman" w:hAnsi="Times New Roman" w:cs="Times New Roman"/>
        </w:rPr>
        <w:t>. The dilution effect suggests that increasing biodiversity decreases the relative number of pathogen-competent hosts available to harbor a pathogen</w:t>
      </w:r>
      <w:r w:rsidR="00D17BF1">
        <w:rPr>
          <w:rFonts w:ascii="Times New Roman" w:hAnsi="Times New Roman" w:cs="Times New Roman"/>
        </w:rPr>
        <w:t>, thus decreasing pathogen-prevalence</w:t>
      </w:r>
      <w:r w:rsidR="0031541F">
        <w:rPr>
          <w:rFonts w:ascii="Times New Roman" w:hAnsi="Times New Roman" w:cs="Times New Roman"/>
        </w:rPr>
        <w:t xml:space="preserve"> </w:t>
      </w:r>
      <w:r w:rsidR="0031541F">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{"citationID":"DpfvKCPV","properties":{"formattedCitation":"(Norman et al., 1999; Richard S. Ostfeld and Keesing, 2000; Richard S Ostfeld and Keesing, 2000)","plainCitation":"(Norman et al., 1999; Richard S. Ostfeld and Keesing, 2000; Richard S Ostfeld and Keesing, 2000)","noteIndex":0},"citationItems":[{"id":2650,"uris":["http://zotero.org/users/6220652/items/PCP8DTGA"],"itemData":{"id":2650,"type":"article-journal","container-title":"Journal of Theoretical Biology","DOI":"10.1006/jtbi.1999.0982","ISSN":"00225193","issue":"1","journalAbbreviation":"Journal of Theoretical Biology","language":"en","license":"https://www.elsevier.com/tdm/userlicense/1.0/","page":"111-118","source":"DOI.org (Crossref)","title":"Persistence of Tick-borne Virus in the Presence of Multiple Host Species: Tick Reservoirs and Parasite Mediated Competition","title-short":"Persistence of Tick-borne Virus in the Presence of Multiple Host Species","URL":"https://linkinghub.elsevier.com/retrieve/pii/S0022519399909827","volume":"200","author":[{"family":"Norman","given":"R."},{"family":"Bowers","given":"R.G."},{"family":"Begon","given":"M."},{"family":"Hudson","given":"P.J."}],"accessed":{"date-parts":[["2024",5,29]]},"issued":{"date-parts":[["1999",9]]}}},{"id":259,"uris":["http://zotero.org/users/6220652/items/2VHRDQ2Q"],"itemData":{"id":259,"type":"article-journal","abstract":"Utilitarian arguments concerning the value of biodiversity often include the benefits of animals, plants, and microbes as sources of medicines and as laboratory models of disease. The concept that species diversity per se may influence risk of exposure to disease has not been well developed, however. We present a conceptual model of how high species richness and evenness in communities of terrestrial vertebrates may reduce risk of exposure to Lyme disease, a spirochetal ( Borrelia burgdorferi) disease transmitted by ixodid tick vectors. Many ticks never become infected because some hosts are highly inefficient at transmitting spirochete infections to feeding ticks. In North America, the most competent reservoir host for the Lyme disease agent is the white-footed mouse ( Peromyscus leucopus), a species that is widespread and locally abundant. We suggest that increases in species diversity within host communities may dilute the power of white-footed mice to infect ticks by causing more ticks to feed on inefficient disease reservoirs. High species diversity therefore is expected to result in lower prevalence of infection in ticks and consequently in lower risk of human exposure to Lyme disease. Analyses of states and multistate regions along the east coast of the United States demonstrated significant negative correlations between species richness of terrestrial small mammals (orders Rodentia, Insectivora, and Lagomorpha), a key group of hosts for ticks, and per capita numbers of reported Lyme disease cases, which supports our “dilution effect” hypothesis. We contrasted these findings to what might be expected when vectors acquire disease agents efficiently from many hosts, in which case infection prevalence of ticks may increase with increasing diversity hosts. A positive correlation between per capita Lyme disease cases and species richness of ground-dwelling birds supported this hypothesis, which we call the “rescue effect.” The reservoir competence of hosts within vertebrate communities and the degree of specialization by ticks on particular hosts will strongly influence the relationship between species diversity and the risk of exposure to the many vector-borne diseases that plague humans.","container-title":"Conservation Biology","DOI":"10.1046/j.1523-1739.2000.99014.x","ISSN":"08888892","issue":"3","journalAbbreviation":"Conservation Biology","language":"en","page":"722-728","source":"DOI.org (Crossref)","title":"Biodiversity and Disease Risk: the Case of Lyme Disease","title-short":"Biodiversity and Disease Risk","URL":"http://doi.wiley.com/10.1046/j.1523-1739.2000.99014.x","volume":"14","author":[{"family":"Ostfeld","given":"Richard S."},{"family":"Keesing","given":"Felicia"}],"accessed":{"date-parts":[["2020",3,26]]},"issued":{"date-parts":[["2000",6]]}}},{"id":1349,"uris":["http://zotero.org/users/6220652/items/K7WUPGBD"],"itemData":{"id":1349,"type":"article-journal","abstract":"This is a critical evaluation of the influence of species diversity within communities of vertebrates on the risk of human exposure to vector-borne zoonoses. Vertebrates serve as natural reservoirs of many disease agents (viral, bacterial, protozoal) that are transmitted to humans by blood-feeding arthropod vectors. We describe the natural history of the Lyme disease zoonosis to illustrate interactions among pathogens, vectors, vertebrate hosts, and risk to humans. We then describe how the presence of a diverse assemblage of vertebrates can dilute the impact of the principal reservoir (the white-footed mouse, Peromyscus leucopus) of Lyme disease spirochetes (Borrelia burgdorferi), thereby reducing the disease risk to humans. Exploring the logic of what we call the dilution effect reveals four conditions that are necessary for it to apply generally to vector-borne zoonoses: (1) the feeding habits of the vector are generalized; (2) the pathogen is acquired by the vector from hosts (as opposed to exclusively transovarial transmission); (3) reservoir competence (the ability of a particular host species to infect a vector) varies among host species; and (4) the most competent reservoir host tends to be a community dominant, as defined by the proportion of the tick population fed by that species. When these conditions are met, vertebrate communities with high species diversity will contain a greater proportion of incompetent reservoir hosts that deflect vector meals away from the most competent reservoirs, thereby reducing infection prevalence and disease risk. Incorporating the likelihood that the abundance of competent reservoirs is reduced in more diverse communities, owing to the presence of predators and competitors, reinforces the impact of the dilution effect on the density of infected vectors. A review of the literature reveals the generality, though not the universality, of these conditions, which suggests that the effects of diversity on disease risk may be widespread. Issues in need of further exploration include (i) the relative importance of diversity per se versus fluctuating numbers of particular species; (ii) the relevance of species richness versus evenness to the dilution effect; (iii) whether the dilution effect operates at both local and regional scales; and (iv) the shape of empirically determined curves relating diversity to measures of disease risk. Further studies linking community ecology with epidemiology are warranted.","container-title":"Canadian Journal of Zoology","DOI":"10.1139/z00-172","ISSN":"0008-4301, 1480-3283","issue":"12","journalAbbreviation":"Can. J. Zool.","language":"en","page":"2061-2078","source":"DOI.org (Crossref)","title":"Biodiversity series: The function of biodiversity in the ecology of vector-borne zoonotic diseases","title-short":"Biodiversity series","URL":"http://www.nrcresearchpress.com/doi/10.1139/z00-172","volume":"78","author":[{"family":"Ostfeld","given":"Richard S"},{"family":"Keesing","given":"Felicia"}],"accessed":{"date-parts":[["2021",7,21]]},"issued":{"date-parts":[["2000",12,1]]}}}],"schema":"https://github.com/citation-style-language/schema/raw/master/csl-citation.json"} </w:instrText>
      </w:r>
      <w:r w:rsidR="0031541F">
        <w:rPr>
          <w:rFonts w:ascii="Times New Roman" w:hAnsi="Times New Roman" w:cs="Times New Roman"/>
        </w:rPr>
        <w:fldChar w:fldCharType="separate"/>
      </w:r>
      <w:r w:rsidR="00F12320">
        <w:rPr>
          <w:rFonts w:ascii="Times New Roman" w:hAnsi="Times New Roman" w:cs="Times New Roman"/>
          <w:noProof/>
        </w:rPr>
        <w:t>(Norman et al., 1999; Richard S. Ostfeld and Keesing, 2000; Richard S Ostfeld and Keesing, 2000)</w:t>
      </w:r>
      <w:r w:rsidR="0031541F">
        <w:rPr>
          <w:rFonts w:ascii="Times New Roman" w:hAnsi="Times New Roman" w:cs="Times New Roman"/>
        </w:rPr>
        <w:fldChar w:fldCharType="end"/>
      </w:r>
      <w:r>
        <w:rPr>
          <w:rFonts w:ascii="Times New Roman" w:hAnsi="Times New Roman" w:cs="Times New Roman"/>
        </w:rPr>
        <w:t xml:space="preserve">. Meanwhile, the amplification-effect suggests that increasing biodiversity increases the reproductive success of </w:t>
      </w:r>
      <w:r>
        <w:rPr>
          <w:rFonts w:ascii="Times New Roman" w:hAnsi="Times New Roman" w:cs="Times New Roman"/>
          <w:i/>
          <w:iCs/>
        </w:rPr>
        <w:t>I. scapularis</w:t>
      </w:r>
      <w:r>
        <w:rPr>
          <w:rFonts w:ascii="Times New Roman" w:hAnsi="Times New Roman" w:cs="Times New Roman"/>
        </w:rPr>
        <w:t xml:space="preserve">, allowing for pathogens to spread more easily </w:t>
      </w:r>
      <w:r w:rsidR="0031541F">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{"citationID":"syqEMlF8","properties":{"formattedCitation":"(Huang et al., 2019; Ogden and Tsao, 2009)","plainCitation":"(Huang et al., 2019; Ogden and Tsao, 2009)","noteIndex":0},"citationItems":[{"id":1326,"uris":["http://zotero.org/users/6220652/items/KS5HAJEP"],"itemData":{"id":1326,"type":"article-journal","container-title":"Ticks and Tick-borne Diseases","DOI":"10.1016/j.ttbdis.2018.10.013","ISSN":"1877959X","issue":"2","journalAbbreviation":"Ticks and Tick-borne Diseases","language":"en","page":"258-268","source":"DOI.org (Crossref)","title":"High burdens of Ixodes scapularis larval ticks on white-tailed deer may limit Lyme disease risk in a low biodiversity setting","URL":"https://linkinghub.elsevier.com/retrieve/pii/S1877959X18302991","volume":"10","author":[{"family":"Huang","given":"Ching-I"},{"family":"Kay","given":"Samantha C."},{"family":"Davis","given":"Stephen"},{"family":"Tufts","given":"Danielle M."},{"family":"Gaffett","given":"Kimberley"},{"family":"Tefft","given":"Brian"},{"family":"Diuk-Wasser","given":"Maria A."}],"accessed":{"date-parts":[["2021",6,29]]},"issued":{"date-parts":[["2019",2]]}}},{"id":1338,"uris":["http://zotero.org/users/6220652/items/268DR337"],"itemData":{"id":1338,"type":"article-journal","container-title":"Epidemics","DOI":"10.1016/j.epidem.2009.06.002","ISSN":"17554365","issue":"3","journalAbbreviation":"Epidemics","language":"en","page":"196-206","source":"DOI.org (Crossref)","title":"Biodiversity and Lyme disease: Dilution or amplification?","title-short":"Biodiversity and Lyme disease","URL":"https://linkinghub.elsevier.com/retrieve/pii/S1755436509000322","volume":"1","author":[{"family":"Ogden","given":"N.H."},{"family":"Tsao","given":"J.I."}],"accessed":{"date-parts":[["2021",7,13]]},"issued":{"date-parts":[["2009",9]]}}}],"schema":"https://github.com/citation-style-language/schema/raw/master/csl-citation.json"} </w:instrText>
      </w:r>
      <w:r w:rsidR="0031541F">
        <w:rPr>
          <w:rFonts w:ascii="Times New Roman" w:hAnsi="Times New Roman" w:cs="Times New Roman"/>
        </w:rPr>
        <w:fldChar w:fldCharType="separate"/>
      </w:r>
      <w:r w:rsidR="00F12320">
        <w:rPr>
          <w:rFonts w:ascii="Times New Roman" w:hAnsi="Times New Roman" w:cs="Times New Roman"/>
          <w:noProof/>
        </w:rPr>
        <w:t>(Huang et al., 2019; Ogden and Tsao, 2009)</w:t>
      </w:r>
      <w:r w:rsidR="0031541F">
        <w:rPr>
          <w:rFonts w:ascii="Times New Roman" w:hAnsi="Times New Roman" w:cs="Times New Roman"/>
        </w:rPr>
        <w:fldChar w:fldCharType="end"/>
      </w:r>
      <w:r>
        <w:rPr>
          <w:rFonts w:ascii="Times New Roman" w:hAnsi="Times New Roman" w:cs="Times New Roman"/>
        </w:rPr>
        <w:t>.</w:t>
      </w:r>
      <w:r w:rsidR="00E02608">
        <w:rPr>
          <w:rFonts w:ascii="Times New Roman" w:hAnsi="Times New Roman" w:cs="Times New Roman"/>
        </w:rPr>
        <w:t xml:space="preserve"> </w:t>
      </w:r>
      <w:r w:rsidR="009049F7">
        <w:rPr>
          <w:rFonts w:ascii="Times New Roman" w:hAnsi="Times New Roman" w:cs="Times New Roman"/>
        </w:rPr>
        <w:t xml:space="preserve">The exact role of white-tailed deer in the spread of </w:t>
      </w:r>
      <w:r w:rsidR="009049F7">
        <w:rPr>
          <w:rFonts w:ascii="Times New Roman" w:hAnsi="Times New Roman" w:cs="Times New Roman"/>
          <w:i/>
          <w:iCs/>
        </w:rPr>
        <w:t>B. burgdorferi</w:t>
      </w:r>
      <w:r w:rsidR="009049F7">
        <w:rPr>
          <w:rFonts w:ascii="Times New Roman" w:hAnsi="Times New Roman" w:cs="Times New Roman"/>
        </w:rPr>
        <w:t xml:space="preserve"> as it pertains to dilution or amplification</w:t>
      </w:r>
      <w:r w:rsidR="00FE7A62">
        <w:rPr>
          <w:rFonts w:ascii="Times New Roman" w:hAnsi="Times New Roman" w:cs="Times New Roman"/>
        </w:rPr>
        <w:t xml:space="preserve"> remains unclear, partly because of the inability to separate white-tailed deer hosts from the downstream results in the pathogen-vector-host system, i.e., </w:t>
      </w:r>
      <w:r w:rsidR="00FE7A62">
        <w:rPr>
          <w:rFonts w:ascii="Times New Roman" w:hAnsi="Times New Roman" w:cs="Times New Roman"/>
          <w:i/>
          <w:iCs/>
        </w:rPr>
        <w:t xml:space="preserve">B. burgdorferi </w:t>
      </w:r>
      <w:r w:rsidR="00FE7A62">
        <w:rPr>
          <w:rFonts w:ascii="Times New Roman" w:hAnsi="Times New Roman" w:cs="Times New Roman"/>
        </w:rPr>
        <w:t xml:space="preserve">prevalence and </w:t>
      </w:r>
      <w:r w:rsidR="00FE7A62">
        <w:rPr>
          <w:rFonts w:ascii="Times New Roman" w:hAnsi="Times New Roman" w:cs="Times New Roman"/>
          <w:i/>
          <w:iCs/>
        </w:rPr>
        <w:t xml:space="preserve">I. scapularis </w:t>
      </w:r>
      <w:r w:rsidR="00FE7A62">
        <w:rPr>
          <w:rFonts w:ascii="Times New Roman" w:hAnsi="Times New Roman" w:cs="Times New Roman"/>
        </w:rPr>
        <w:t xml:space="preserve">density. </w:t>
      </w:r>
      <w:r w:rsidR="00B36EED">
        <w:rPr>
          <w:rFonts w:ascii="Times New Roman" w:hAnsi="Times New Roman" w:cs="Times New Roman"/>
        </w:rPr>
        <w:t xml:space="preserve">The epidemiological cycles of Ap-ha and Ap-V1 </w:t>
      </w:r>
      <w:r w:rsidR="00B36EED">
        <w:rPr>
          <w:rFonts w:ascii="Times New Roman" w:hAnsi="Times New Roman" w:cs="Times New Roman"/>
          <w:i/>
          <w:iCs/>
        </w:rPr>
        <w:t xml:space="preserve">A. </w:t>
      </w:r>
      <w:r w:rsidR="00B36EED" w:rsidRPr="00B36EED">
        <w:rPr>
          <w:rFonts w:ascii="Times New Roman" w:hAnsi="Times New Roman" w:cs="Times New Roman"/>
        </w:rPr>
        <w:t>phagocytophilum</w:t>
      </w:r>
      <w:r w:rsidR="00B36EED">
        <w:rPr>
          <w:rFonts w:ascii="Times New Roman" w:hAnsi="Times New Roman" w:cs="Times New Roman"/>
        </w:rPr>
        <w:t xml:space="preserve"> may provide insight into the role </w:t>
      </w:r>
      <w:r w:rsidR="003C4969">
        <w:rPr>
          <w:rFonts w:ascii="Times New Roman" w:hAnsi="Times New Roman" w:cs="Times New Roman"/>
        </w:rPr>
        <w:t xml:space="preserve">of </w:t>
      </w:r>
      <w:r w:rsidR="00B36EED">
        <w:rPr>
          <w:rFonts w:ascii="Times New Roman" w:hAnsi="Times New Roman" w:cs="Times New Roman"/>
        </w:rPr>
        <w:t>white-tailed deer</w:t>
      </w:r>
      <w:r w:rsidR="003C4969">
        <w:rPr>
          <w:rFonts w:ascii="Times New Roman" w:hAnsi="Times New Roman" w:cs="Times New Roman"/>
        </w:rPr>
        <w:t xml:space="preserve"> as dilution or amplification hosts given the pathogen’s differing natural reservoirs </w:t>
      </w:r>
      <w:r w:rsidR="00D17BF1">
        <w:rPr>
          <w:rFonts w:ascii="Times New Roman" w:hAnsi="Times New Roman" w:cs="Times New Roman"/>
        </w:rPr>
        <w:t>(</w:t>
      </w:r>
      <w:r w:rsidR="003C4969">
        <w:rPr>
          <w:rFonts w:ascii="Times New Roman" w:hAnsi="Times New Roman" w:cs="Times New Roman"/>
        </w:rPr>
        <w:t>Figure 1</w:t>
      </w:r>
      <w:r w:rsidR="00D17BF1">
        <w:rPr>
          <w:rFonts w:ascii="Times New Roman" w:hAnsi="Times New Roman" w:cs="Times New Roman"/>
        </w:rPr>
        <w:t>)</w:t>
      </w:r>
      <w:r w:rsidR="00B36EED">
        <w:rPr>
          <w:rFonts w:ascii="Times New Roman" w:hAnsi="Times New Roman" w:cs="Times New Roman"/>
        </w:rPr>
        <w:t xml:space="preserve">. </w:t>
      </w:r>
    </w:p>
    <w:p w14:paraId="1BD0E857" w14:textId="68BECECB" w:rsidR="00502B8B" w:rsidRDefault="009D1183" w:rsidP="009D1183">
      <w:pPr>
        <w:spacing w:line="480" w:lineRule="auto"/>
        <w:ind w:firstLine="720"/>
        <w:rPr>
          <w:rFonts w:ascii="Times New Roman" w:hAnsi="Times New Roman" w:cs="Times New Roman"/>
        </w:rPr>
      </w:pPr>
      <w:r>
        <w:rPr>
          <w:rFonts w:ascii="Times New Roman" w:hAnsi="Times New Roman" w:cs="Times New Roman"/>
        </w:rPr>
        <w:t xml:space="preserve"> The dilution </w:t>
      </w:r>
      <w:r w:rsidR="003C4969">
        <w:rPr>
          <w:rFonts w:ascii="Times New Roman" w:hAnsi="Times New Roman" w:cs="Times New Roman"/>
        </w:rPr>
        <w:t xml:space="preserve">and amplification </w:t>
      </w:r>
      <w:r>
        <w:rPr>
          <w:rFonts w:ascii="Times New Roman" w:hAnsi="Times New Roman" w:cs="Times New Roman"/>
        </w:rPr>
        <w:t>effect hypothes</w:t>
      </w:r>
      <w:r w:rsidR="003C4969">
        <w:rPr>
          <w:rFonts w:ascii="Times New Roman" w:hAnsi="Times New Roman" w:cs="Times New Roman"/>
        </w:rPr>
        <w:t>e</w:t>
      </w:r>
      <w:r>
        <w:rPr>
          <w:rFonts w:ascii="Times New Roman" w:hAnsi="Times New Roman" w:cs="Times New Roman"/>
        </w:rPr>
        <w:t xml:space="preserve">s </w:t>
      </w:r>
      <w:r w:rsidR="003C4969">
        <w:rPr>
          <w:rFonts w:ascii="Times New Roman" w:hAnsi="Times New Roman" w:cs="Times New Roman"/>
        </w:rPr>
        <w:t>are</w:t>
      </w:r>
      <w:r>
        <w:rPr>
          <w:rFonts w:ascii="Times New Roman" w:hAnsi="Times New Roman" w:cs="Times New Roman"/>
        </w:rPr>
        <w:t xml:space="preserve"> invariably related to the phenomenon of forest fragmentation</w:t>
      </w:r>
      <w:r w:rsidR="003C4969">
        <w:rPr>
          <w:rFonts w:ascii="Times New Roman" w:hAnsi="Times New Roman" w:cs="Times New Roman"/>
        </w:rPr>
        <w:t xml:space="preserve">. It is often assumed that as </w:t>
      </w:r>
      <w:r>
        <w:rPr>
          <w:rFonts w:ascii="Times New Roman" w:hAnsi="Times New Roman" w:cs="Times New Roman"/>
        </w:rPr>
        <w:t>forest fragmentation increase</w:t>
      </w:r>
      <w:r w:rsidR="00525709">
        <w:rPr>
          <w:rFonts w:ascii="Times New Roman" w:hAnsi="Times New Roman" w:cs="Times New Roman"/>
        </w:rPr>
        <w:t>s</w:t>
      </w:r>
      <w:r>
        <w:rPr>
          <w:rFonts w:ascii="Times New Roman" w:hAnsi="Times New Roman" w:cs="Times New Roman"/>
        </w:rPr>
        <w:t xml:space="preserve">, biodiversity within smaller, less connected forest patches </w:t>
      </w:r>
      <w:r w:rsidR="00525709">
        <w:rPr>
          <w:rFonts w:ascii="Times New Roman" w:hAnsi="Times New Roman" w:cs="Times New Roman"/>
        </w:rPr>
        <w:t>will decrease</w:t>
      </w:r>
      <w:r>
        <w:rPr>
          <w:rFonts w:ascii="Times New Roman" w:hAnsi="Times New Roman" w:cs="Times New Roman"/>
        </w:rPr>
        <w:t xml:space="preserve"> </w:t>
      </w:r>
      <w:r w:rsidR="0031541F">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{"citationID":"zoIqyEdE","properties":{"formattedCitation":"(Diuk-Wasser et al., 2021)","plainCitation":"(Diuk-Wasser et al., 2021)","noteIndex":0},"citationItems":[{"id":1886,"uris":["http://zotero.org/users/6220652/items/ZU7YWMX6"],"itemData":{"id":1886,"type":"article-journal","abstract":"Abstract\n            The incidence of tick-borne diseases has increased in recent decades and accounts for the majority of vector-borne disease cases in temperate areas of Europe, North America, and Asia. This emergence has been attributed to multiple and interactive drivers including changes in climate, land use, abundance of key hosts, and people’s behaviors affecting the probability of human exposure to infected ticks. In this forum paper, we focus on how land use changes have shaped the eco-epidemiology of Ixodes scapularis-borne pathogens, in particular the Lyme disease spirochete Borrelia burgdorferi sensu stricto in the eastern United States. We use this as a model system, addressing other tick-borne disease systems as needed to illustrate patterns or processes. We first examine how land use interacts with abiotic conditions (microclimate) and biotic factors (e.g., host community composition) to influence the enzootic hazard, measured as the density of host-seeking I. scapularis nymphs infected with B. burgdorferi s.s. We then review the evidence of how specific landscape configuration, in particular forest fragmentation, influences the enzootic hazard and disease risk across spatial scales and urbanization levels. We emphasize the need for a dynamic understanding of landscapes based on tick and pathogen host movement and habitat use in relation to human resource provisioning. We propose a coupled natural-human systems framework for tick-borne diseases that accounts for the multiple interactions, nonlinearities and feedbacks in the system and conclude with a call for standardization of methodology and terminology to help integrate studies conducted at multiple scales.","container-title":"Journal of Medical Entomology","DOI":"10.1093/jme/tjaa209","ISSN":"0022-2585, 1938-2928","issue":"4","language":"en","page":"1546-1564","source":"DOI.org (Crossref)","title":"Impact of Land Use Changes and Habitat Fragmentation on the Eco-epidemiology of Tick-Borne Diseases","URL":"https://academic.oup.com/jme/article/58/4/1546/5936773","volume":"58","author":[{"family":"Diuk-Wasser","given":"Maria A"},{"family":"VanAcker","given":"Meredith C"},{"family":"Fernandez","given":"Maria P"}],"editor":[{"family":"Reisen","given":"William"}],"accessed":{"date-parts":[["2022",1,9]]},"issued":{"date-parts":[["2021",7,16]]}}}],"schema":"https://github.com/citation-style-language/schema/raw/master/csl-citation.json"} </w:instrText>
      </w:r>
      <w:r w:rsidR="0031541F">
        <w:rPr>
          <w:rFonts w:ascii="Times New Roman" w:hAnsi="Times New Roman" w:cs="Times New Roman"/>
        </w:rPr>
        <w:fldChar w:fldCharType="separate"/>
      </w:r>
      <w:r w:rsidR="00F12320">
        <w:rPr>
          <w:rFonts w:ascii="Times New Roman" w:hAnsi="Times New Roman" w:cs="Times New Roman"/>
          <w:noProof/>
        </w:rPr>
        <w:t>(Diuk-Wasser et al., 2021)</w:t>
      </w:r>
      <w:r w:rsidR="0031541F">
        <w:rPr>
          <w:rFonts w:ascii="Times New Roman" w:hAnsi="Times New Roman" w:cs="Times New Roman"/>
        </w:rPr>
        <w:fldChar w:fldCharType="end"/>
      </w:r>
      <w:r>
        <w:rPr>
          <w:rFonts w:ascii="Times New Roman" w:hAnsi="Times New Roman" w:cs="Times New Roman"/>
        </w:rPr>
        <w:t xml:space="preserve">. </w:t>
      </w:r>
      <w:r w:rsidR="00F61A00">
        <w:rPr>
          <w:rFonts w:ascii="Times New Roman" w:hAnsi="Times New Roman" w:cs="Times New Roman"/>
        </w:rPr>
        <w:t xml:space="preserve">The result of decreasing biodiversity within fragmented forests leaves white-footed mice as the primary mammal by which </w:t>
      </w:r>
      <w:r w:rsidR="00F61A00">
        <w:rPr>
          <w:rFonts w:ascii="Times New Roman" w:hAnsi="Times New Roman" w:cs="Times New Roman"/>
          <w:i/>
          <w:iCs/>
        </w:rPr>
        <w:t xml:space="preserve">I. scapularis </w:t>
      </w:r>
      <w:r w:rsidR="00F61A00">
        <w:rPr>
          <w:rFonts w:ascii="Times New Roman" w:hAnsi="Times New Roman" w:cs="Times New Roman"/>
        </w:rPr>
        <w:t>can feed</w:t>
      </w:r>
      <w:r w:rsidR="00794627">
        <w:rPr>
          <w:rFonts w:ascii="Times New Roman" w:hAnsi="Times New Roman" w:cs="Times New Roman"/>
        </w:rPr>
        <w:t>, resulting in an increase in both tick density and pathogen prevalence</w:t>
      </w:r>
      <w:r w:rsidR="00F61A00">
        <w:rPr>
          <w:rFonts w:ascii="Times New Roman" w:hAnsi="Times New Roman" w:cs="Times New Roman"/>
        </w:rPr>
        <w:t xml:space="preserve"> </w:t>
      </w:r>
      <w:r w:rsidR="00F61A00">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{"citationID":"NCdvsK5V","properties":{"formattedCitation":"(Nupp and Swihart, 1998)","plainCitation":"(Nupp and Swihart, 1998)","noteIndex":0},"citationItems":[{"id":2652,"uris":["http://zotero.org/users/6220652/items/56LABCXI"],"itemData":{"id":2652,"type":"article-journal","container-title":"Journal of Mammalogy","DOI":"10.2307/1383014","ISSN":"1545-1542, 0022-2372","issue":"4","journalAbbreviation":"Journal of Mammalogy","language":"en","page":"1234-1243","source":"DOI.org (Crossref)","title":"Effects of Forest Fragmentation on Population Attributes of White-Footed Mice and Eastern Chipmunks","URL":"https://academic.oup.com/jmammal/article-lookup/doi/10.2307/1383014","volume":"79","author":[{"family":"Nupp","given":"T. E."},{"family":"Swihart","given":"R. K."}],"accessed":{"date-parts":[["2024",5,30]]},"issued":{"date-parts":[["1998",12,3]]}}}],"schema":"https://github.com/citation-style-language/schema/raw/master/csl-citation.json"} </w:instrText>
      </w:r>
      <w:r w:rsidR="00F61A00">
        <w:rPr>
          <w:rFonts w:ascii="Times New Roman" w:hAnsi="Times New Roman" w:cs="Times New Roman"/>
        </w:rPr>
        <w:fldChar w:fldCharType="separate"/>
      </w:r>
      <w:r w:rsidR="00F12320">
        <w:rPr>
          <w:rFonts w:ascii="Times New Roman" w:hAnsi="Times New Roman" w:cs="Times New Roman"/>
          <w:noProof/>
        </w:rPr>
        <w:t>(Nupp and Swihart, 1998)</w:t>
      </w:r>
      <w:r w:rsidR="00F61A00">
        <w:rPr>
          <w:rFonts w:ascii="Times New Roman" w:hAnsi="Times New Roman" w:cs="Times New Roman"/>
        </w:rPr>
        <w:fldChar w:fldCharType="end"/>
      </w:r>
      <w:r w:rsidR="00F61A00">
        <w:rPr>
          <w:rFonts w:ascii="Times New Roman" w:hAnsi="Times New Roman" w:cs="Times New Roman"/>
        </w:rPr>
        <w:t xml:space="preserve">. </w:t>
      </w:r>
      <w:r w:rsidR="00794627">
        <w:rPr>
          <w:rFonts w:ascii="Times New Roman" w:hAnsi="Times New Roman" w:cs="Times New Roman"/>
        </w:rPr>
        <w:t xml:space="preserve">Conversely, the relationship between forest fragmentation, white-tailed deer, and entomological risk remains difficult to </w:t>
      </w:r>
      <w:r w:rsidR="00794627">
        <w:rPr>
          <w:rFonts w:ascii="Times New Roman" w:hAnsi="Times New Roman" w:cs="Times New Roman"/>
        </w:rPr>
        <w:lastRenderedPageBreak/>
        <w:t xml:space="preserve">disentangle. The preference of white-tailed deer towards edge habitat is well described </w:t>
      </w:r>
      <w:r w:rsidR="006F6C8E">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{"citationID":"rxdZn3k2","properties":{"formattedCitation":"(Alverson et al., 1988; Kremsater and Bunnell, 1992; Leopold, 1933; Miyashita et al., 2008)","plainCitation":"(Alverson et al., 1988; Kremsater and Bunnell, 1992; Leopold, 1933; Miyashita et al., 2008)","noteIndex":0},"citationItems":[{"id":2665,"uris":["http://zotero.org/users/6220652/items/R7F4EKTP"],"itemData":{"id":2665,"type":"article-journal","abstract":"[Browsing by white-tailed deer (Odocoileus virginianus) can profoundly affect the abundance and population structure of several woody and herbaceous plant species. Enclosure studies and population surveys reveal that past and current deer densities as low as 4 deer/km&lt;sup&gt;2&lt;/sup&gt; may prevent regeneration of the once common woody species, Canada yew (Taxus canadensis), eastern hemlock (Tsuga canadensis), and white cedar (Thuja occidentalis), as well as several herbaceous species. Prior to European settlement, forests in northern Wisconsin contained relatively sparse deer populations (&lt;4/km&lt;sup&gt;2&lt;/sup&gt;), but extensive timber cutting in the late nineteenth century boosted deer populations. Continued habitat fragmentation resulting from scattered timber harvests and the creation of \"wildlife openings\" to improve deer forage maintain these high densities throughout much of the Northeast. Because deer wander widely, the effects of high deer densities penetrate deeply into remaining stands of old and mature forest, greatly modifying their composition. Thus, abundant early successional and \"edge\" habitat, and the high deer densities they engender, represent significant external threats to these plant communities. We hypothesize that establishing large (200-400 km&lt;sup&gt;2&lt;/sup&gt;) continuous areas of maturing forest, especially in conjunction with increased hunting, could reduce local deer densities and so provide a simple and inexpensive method for retaining species sensitive to the deleterious effects of browsing.]","archive":"JSTOR","container-title":"Conservation Biology","ISSN":"08888892, 15231739","issue":"4","note":"publisher: [Wiley, Society for Conservation Biology]","page":"348-358","title":"Forests Too Deer: Edge Effects in Northern Wisconsin","URL":"http://www.jstor.org.gate.lib.buffalo.edu/stable/2386294","volume":"2","author":[{"family":"Alverson","given":"William S."},{"family":"Waller","given":"Donald M."},{"family":"Solheim","given":"Stephen L."}],"accessed":{"date-parts":[["2024",5,30]]},"issued":{"date-parts":[["1988"]]}}},{"id":2666,"uris":["http://zotero.org/users/6220652/items/KHR8T7QT"],"itemData":{"id":2666,"type":"article-journal","abstract":"Variations in deer response to edge habitat have been attributed to three sources: (1) differences in habitat mosaics among study areas, (2) inconsistent definition of habitat deemed available to a deer, and (3) differences in edge characteristics. The potential influences of these factors were evaluated using data for black-tailed deer (Odocoileus hemionus columbianus) collected on Vancouver Island, B.C. Edges were defined among clear-cut, second-growth, and old-growth habitats. Deer distributions and movements were determined using radiotelemetry. Little response of deer to edges was detectable where habitat was a fine-grained mosaic of forage and cover areas. Where forage and cover occurred in clearly distinct habitats, responses to edge were apparent. Techniques defining area available to wildlife in use–availability analyses differ among studies. We found that the impact of changing the area considered to be available mattered little when habitats were finely interspersed. We could not unequivocally separate effects of differences in habitat mosaics from effects of differences in vegetative characteristics of edge habitat, but results were consistent with other findings that edges are less important when forage and cover are interspersed. We discuss the implications of our findings for the interpretation of research results.","container-title":"Canadian Journal of Zoology","DOI":"10.1139/z92-326","ISSN":"0008-4301, 1480-3283","issue":"12","journalAbbreviation":"Can. J. Zool.","language":"en","license":"http://www.nrcresearchpress.com/page/about/CorporateTextAndDataMining","page":"2426-2435","source":"DOI.org (Crossref)","title":"Testing responses to forest edges: the example of black-tailed deer","title-short":"Testing responses to forest edges","URL":"http://www.nrcresearchpress.com/doi/10.1139/z92-326","volume":"70","author":[{"family":"Kremsater","given":"Laurie L."},{"family":"Bunnell","given":"Fred L."}],"accessed":{"date-parts":[["2024",5,30]]},"issued":{"date-parts":[["1992",12,1]]}}},{"id":2669,"uris":["http://zotero.org/users/6220652/items/DKQU46HS"],"itemData":{"id":2669,"type":"book","event-place":"New York","publisher":"Charles Scribner's Sons","publisher-place":"New York","title":"Game management","author":[{"family":"Leopold","given":"Aldo"}],"issued":{"date-parts":[["1933"]]}}},{"id":2661,"uris":["http://zotero.org/users/6220652/items/NHUD8QJ4"],"itemData":{"id":2661,"type":"article-journal","abstract":"Habitat edges are considered to have an important role in determining the abundance of deer in forest landscapes, but to our knowledge there are few lines of evidence indicating that forest edge enhances the vital rate of deer. We examined pregnancy of female sika deer in Boso peninsula, central Japan, and explored how forest edges, food availability in forests, and local population density influence the pregnancy rate of sika deer. Local deer density was estimated by the number of fecal pellets, and food availability in forests was estimated by combining GIS data of vegetation distribution and the relationship between vegetation biomass and local deer density. Forest edge length was also determined by GIS data. Model selection was performed with multiple logistic regression analyses using the AIC to find the best model for accounting for the observed variation in pregnancy rates of the deer. Multiple logistic regression analysis showed that the length of forest edge had a positive effect on the pregnancy rate of females, whereas food availability in forests and local deer density had little effect. This forest edge effect was detected in a 100–200-m radius from deer captured locations, indicating that deer pregnancy is primarily determined by habitat quality within a 10-ha area. This result was confirmed by tracking females with GPS telemetry, which found that the core areas of the home range were less than 12 ha. The positive effect of edges and the lack of density dependence could be a result of high plant productivity in open environments that produces forages not depleted by high deer densities. Our results support the view that land management is the cause of the current problem of deer overabundance.","container-title":"Population Ecology","DOI":"10.1007/s10144-007-0068-y","ISSN":"1438-390X","issue":"1","language":"en","note":"_eprint: https://onlinelibrary.wiley.com/doi/pdf/10.1007/s10144-007-0068-y","page":"111-120","source":"Wiley Online Library","title":"Forest edge creates small-scale variation in reproductive rate of sika deer","URL":"https://onlinelibrary.wiley.com/doi/abs/10.1007/s10144-007-0068-y","volume":"50","author":[{"family":"Miyashita","given":"Tadashi"},{"family":"Suzuki","given":"Maki"},{"family":"Ando","given":"Daisuke"},{"family":"Fujita","given":"Go"},{"family":"Ochiai","given":"Keiji"},{"family":"Asada","given":"Masahiko"}],"accessed":{"date-parts":[["2024",5,30]]},"issued":{"date-parts":[["2008"]]}}}],"schema":"https://github.com/citation-style-language/schema/raw/master/csl-citation.json"} </w:instrText>
      </w:r>
      <w:r w:rsidR="006F6C8E">
        <w:rPr>
          <w:rFonts w:ascii="Times New Roman" w:hAnsi="Times New Roman" w:cs="Times New Roman"/>
        </w:rPr>
        <w:fldChar w:fldCharType="separate"/>
      </w:r>
      <w:r w:rsidR="00F12320">
        <w:rPr>
          <w:rFonts w:ascii="Times New Roman" w:hAnsi="Times New Roman" w:cs="Times New Roman"/>
          <w:noProof/>
        </w:rPr>
        <w:t>(Alverson et al., 1988; Kremsater and Bunnell, 1992; Leopold, 1933; Miyashita et al., 2008)</w:t>
      </w:r>
      <w:r w:rsidR="006F6C8E">
        <w:rPr>
          <w:rFonts w:ascii="Times New Roman" w:hAnsi="Times New Roman" w:cs="Times New Roman"/>
        </w:rPr>
        <w:fldChar w:fldCharType="end"/>
      </w:r>
      <w:r w:rsidR="00794627">
        <w:rPr>
          <w:rFonts w:ascii="Times New Roman" w:hAnsi="Times New Roman" w:cs="Times New Roman"/>
        </w:rPr>
        <w:t xml:space="preserve">. This </w:t>
      </w:r>
      <w:r w:rsidR="008F4326">
        <w:rPr>
          <w:rFonts w:ascii="Times New Roman" w:hAnsi="Times New Roman" w:cs="Times New Roman"/>
        </w:rPr>
        <w:t xml:space="preserve">behavioral </w:t>
      </w:r>
      <w:r w:rsidR="00794627">
        <w:rPr>
          <w:rFonts w:ascii="Times New Roman" w:hAnsi="Times New Roman" w:cs="Times New Roman"/>
        </w:rPr>
        <w:t xml:space="preserve">preference, combined with the assumed relative increase in white-footed mice abundance in fragmented landscapes, suggests that fragmented landscapes result in increased entomological risk. Previous research has linked forest fragmentation to entomological </w:t>
      </w:r>
      <w:r w:rsidR="008F4326">
        <w:rPr>
          <w:rFonts w:ascii="Times New Roman" w:hAnsi="Times New Roman" w:cs="Times New Roman"/>
        </w:rPr>
        <w:t>risk;</w:t>
      </w:r>
      <w:r w:rsidR="00794627">
        <w:rPr>
          <w:rFonts w:ascii="Times New Roman" w:hAnsi="Times New Roman" w:cs="Times New Roman"/>
        </w:rPr>
        <w:t xml:space="preserve"> however, other research indicates </w:t>
      </w:r>
      <w:r w:rsidR="008F4326">
        <w:rPr>
          <w:rFonts w:ascii="Times New Roman" w:hAnsi="Times New Roman" w:cs="Times New Roman"/>
        </w:rPr>
        <w:t xml:space="preserve">that the connectivity of fragmented forests also plays a role in the propagation of tick populations and thus, tick-borne disease risk </w:t>
      </w:r>
      <w:r w:rsidR="00C6589E">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{"citationID":"pb4dpN6Y","properties":{"formattedCitation":"(Allan et al., 2003; Brownstein et al., 2005; Keesing et al., 2023, 2023; Tran and Waller, 2013; VanAcker et al., 2019)","plainCitation":"(Allan et al., 2003; Brownstein et al., 2005; Keesing et al., 2023, 2023; Tran and Waller, 2013; VanAcker et al., 2019)","noteIndex":0},"citationItems":[{"id":780,"uris":["http://zotero.org/users/6220652/items/5JI2G4UD"],"itemData":{"id":780,"type":"article-journal","container-title":"Conservation Biology","DOI":"10.1046/j.1523-1739.2003.01260.x","ISSN":"0888-8892, 1523-1739","issue":"1","journalAbbreviation":"Conservation Biology","language":"en","page":"267-272","source":"DOI.org (Crossref)","title":"Effect of Forest Fragmentation on Lyme Disease Risk","URL":"http://doi.wiley.com/10.1046/j.1523-1739.2003.01260.x","volume":"17","author":[{"family":"Allan","given":"Brian F."},{"family":"Keesing","given":"Felicia"},{"family":"Ostfeld","given":"Richard S."}],"accessed":{"date-parts":[["2021",2,4]]},"issued":{"date-parts":[["2003",2]]}}},{"id":793,"uris":["http://zotero.org/users/6220652/items/UIWFRMVW"],"itemData":{"id":793,"type":"article-journal","container-title":"Oecologia","DOI":"10.1007/s00442-005-0251-9","ISSN":"0029-8549, 1432-1939","issue":"3","journalAbbreviation":"Oecologia","language":"en","page":"469-475","source":"DOI.org (Crossref)","title":"Forest fragmentation predicts local scale heterogeneity of Lyme disease risk","URL":"http://link.springer.com/10.1007/s00442-005-0251-9","volume":"146","author":[{"family":"Brownstein","given":"John S."},{"family":"Skelly","given":"David K."},{"family":"Holford","given":"Theodore R."},{"family":"Fish","given":"Durland"}],"accessed":{"date-parts":[["2021",2,4]]},"issued":{"date-parts":[["2005",12]]}}},{"id":2436,"uris":["http://zotero.org/users/6220652/items/MJ4DA64E"],"itemData":{"id":2436,"type":"article-journal","abstract":"Although human exposure to the ticks that transmit Lyme-disease bacteria is widely considered to occur around people’s homes, most studies of variation in tick abundance and infection are undertaken outside residential areas. Consequently, the patterns of variation in risk of human exposure to tick-borne infections in these human-dominated landscapes are poorly understood. Here, we report the results of four years of sampling for tick abundance, tick infection, tick encounters, and tick-borne disease reports on residential properties nested within six neighborhoods in Dutchess County, New York, USA, an area of high incidence for Lyme and other tick-borne diseases. All properties were within neighborhoods that had been randomly assigned as placebo controls in The Tick Project; hence, none were treated to reduce tick abundance during the period of investigation, providing a unique dataset of natural variation within and between neighborhoods. We estimated the abundance of host-seeking blacklegged ticks (\n              Ixodes scapularis\n              ) in three types of habitats on residential properties–forests, lawns, and gardens. In forest and lawn habitats, some neighborhoods had consistently higher tick abundance. Properties within neighborhoods also varied consistently between years, suggesting hot spots and cold spots occurring at a small (~ 1-hectare) spatial scale. Across neighborhoods, the abundance of nymphal ticks was explained by neither the amount of forest in that neighborhood, nor by the degree of forest fragmentation. The proportion of ticks infected with three common tick-borne pathogens did not differ significantly between neighborhoods. We observed no effect of tick abundance on human encounters with ticks, nor on either human or pet cases of tick-borne diseases. However, the number of encounters between ticks and outdoor pets in a neighborhood was negatively correlated with the abundance of questing ticks in that neighborhood. Our results reinforce the need to understand how human behavior and neglected ecological factors affect variation in human encounters with ticks and cases of tick-borne disease in residential settings.","container-title":"PLOS ONE","DOI":"10.1371/journal.pone.0293820","ISSN":"1932-6203","issue":"11","journalAbbreviation":"PLoS ONE","language":"en","page":"e0293820","source":"DOI.org (Crossref)","title":"Spatial variation in risk for tick-borne diseases in residential areas of Dutchess County, New York","URL":"https://dx.plos.org/10.1371/journal.pone.0293820","volume":"18","author":[{"family":"Keesing","given":"Felicia"},{"family":"Tilley","given":"Emma"},{"family":"Mowry","given":"Stacy"},{"family":"Adish","given":"Sahar"},{"family":"Bremer","given":"William"},{"family":"Duerr","given":"Shannon"},{"family":"Evans","given":"Andrew S."},{"family":"Fischhoff","given":"Ilya R."},{"family":"Keating","given":"Fiona"},{"family":"Pendleton","given":"Jennifer"},{"family":"Pfister","given":"Ashley"},{"family":"Teator","given":"Marissa"},{"family":"Ostfeld","given":"Richard S."}],"editor":[{"family":"Abuowarda","given":"Mai"}],"accessed":{"date-parts":[["2023",11,13]]},"issued":{"date-parts":[["2023",11,9]]}}},{"id":2436,"uris":["http://zotero.org/users/6220652/items/MJ4DA64E"],"itemData":{"id":2436,"type":"article-journal","abstract":"Although human exposure to the ticks that transmit Lyme-disease bacteria is widely considered to occur around people’s homes, most studies of variation in tick abundance and infection are undertaken outside residential areas. Consequently, the patterns of variation in risk of human exposure to tick-borne infections in these human-dominated landscapes are poorly understood. Here, we report the results of four years of sampling for tick abundance, tick infection, tick encounters, and tick-borne disease reports on residential properties nested within six neighborhoods in Dutchess County, New York, USA, an area of high incidence for Lyme and other tick-borne diseases. All properties were within neighborhoods that had been randomly assigned as placebo controls in The Tick Project; hence, none were treated to reduce tick abundance during the period of investigation, providing a unique dataset of natural variation within and between neighborhoods. We estimated the abundance of host-seeking blacklegged ticks (\n              Ixodes scapularis\n              ) in three types of habitats on residential properties–forests, lawns, and gardens. In forest and lawn habitats, some neighborhoods had consistently higher tick abundance. Properties within neighborhoods also varied consistently between years, suggesting hot spots and cold spots occurring at a small (~ 1-hectare) spatial scale. Across neighborhoods, the abundance of nymphal ticks was explained by neither the amount of forest in that neighborhood, nor by the degree of forest fragmentation. The proportion of ticks infected with three common tick-borne pathogens did not differ significantly between neighborhoods. We observed no effect of tick abundance on human encounters with ticks, nor on either human or pet cases of tick-borne diseases. However, the number of encounters between ticks and outdoor pets in a neighborhood was negatively correlated with the abundance of questing ticks in that neighborhood. Our results reinforce the need to understand how human behavior and neglected ecological factors affect variation in human encounters with ticks and cases of tick-borne disease in residential settings.","container-title":"PLOS ONE","DOI":"10.1371/journal.pone.0293820","ISSN":"1932-6203","issue":"11","journalAbbreviation":"PLoS ONE","language":"en","page":"e0293820","source":"DOI.org (Crossref)","title":"Spatial variation in risk for tick-borne diseases in residential areas of Dutchess County, New York","URL":"https://dx.plos.org/10.1371/journal.pone.0293820","volume":"18","author":[{"family":"Keesing","given":"Felicia"},{"family":"Tilley","given":"Emma"},{"family":"Mowry","given":"Stacy"},{"family":"Adish","given":"Sahar"},{"family":"Bremer","given":"William"},{"family":"Duerr","given":"Shannon"},{"family":"Evans","given":"Andrew S."},{"family":"Fischhoff","given":"Ilya R."},{"family":"Keating","given":"Fiona"},{"family":"Pendleton","given":"Jennifer"},{"family":"Pfister","given":"Ashley"},{"family":"Teator","given":"Marissa"},{"family":"Ostfeld","given":"Richard S."}],"editor":[{"family":"Abuowarda","given":"Mai"}],"accessed":{"date-parts":[["2023",11,13]]},"issued":{"date-parts":[["2023",11,9]]}}},{"id":957,"uris":["http://zotero.org/users/6220652/items/ZPHWK4QI"],"itemData":{"id":957,"type":"article-journal","container-title":"EcoHealth","DOI":"10.1007/s10393-013-0890-y","ISSN":"1612-9202, 1612-9210","issue":"4","journalAbbreviation":"EcoHealth","language":"en","page":"394-404","source":"DOI.org (Crossref)","title":"Effects of Landscape Fragmentation and Climate on Lyme Disease Incidence in the Northeastern United States","URL":"http://link.springer.com/10.1007/s10393-013-0890-y","volume":"10","author":[{"family":"Tran","given":"Phoebe Minh"},{"family":"Waller","given":"Lance"}],"accessed":{"date-parts":[["2021",2,4]]},"issued":{"date-parts":[["2013",12]]}}},{"id":2084,"uris":["http://zotero.org/users/6220652/items/PLQ8UHN3"],"itemData":{"id":2084,"type":"article-journal","container-title":"Emerging Infectious Diseases","DOI":"10.3201/eid2506.181741","ISSN":"1080-6040, 1080-6059","issue":"6","journalAbbreviation":"Emerg. Infect. Dis.","page":"1136-1143","source":"DOI.org (Crossref)","title":"Enhancement of Risk for Lyme Disease by Landscape Connectivity, New York, New York, USA","URL":"http://wwwnc.cdc.gov/eid/article/25/6/18-1741_article.htm","volume":"25","author":[{"family":"VanAcker","given":"Meredith C."},{"family":"Little","given":"Eliza A.H."},{"family":"Molaei","given":"Goudarz"},{"family":"Bajwa","given":"Waheed I."},{"family":"Diuk-Wasser","given":"Maria A."}],"accessed":{"date-parts":[["2022",7,1]]},"issued":{"date-parts":[["2019",6]]}}}],"schema":"https://github.com/citation-style-language/schema/raw/master/csl-citation.json"} </w:instrText>
      </w:r>
      <w:r w:rsidR="00C6589E">
        <w:rPr>
          <w:rFonts w:ascii="Times New Roman" w:hAnsi="Times New Roman" w:cs="Times New Roman"/>
        </w:rPr>
        <w:fldChar w:fldCharType="separate"/>
      </w:r>
      <w:r w:rsidR="00F12320">
        <w:rPr>
          <w:rFonts w:ascii="Times New Roman" w:hAnsi="Times New Roman" w:cs="Times New Roman"/>
          <w:noProof/>
        </w:rPr>
        <w:t>(Allan et al., 2003; Brownstein et al., 2005; Keesing et al., 2023, 2023; Tran and Waller, 2013; VanAcker et al., 2019)</w:t>
      </w:r>
      <w:r w:rsidR="00C6589E">
        <w:rPr>
          <w:rFonts w:ascii="Times New Roman" w:hAnsi="Times New Roman" w:cs="Times New Roman"/>
        </w:rPr>
        <w:fldChar w:fldCharType="end"/>
      </w:r>
      <w:r w:rsidR="008F4326">
        <w:rPr>
          <w:rFonts w:ascii="Times New Roman" w:hAnsi="Times New Roman" w:cs="Times New Roman"/>
        </w:rPr>
        <w:t xml:space="preserve">. </w:t>
      </w:r>
      <w:r w:rsidR="00B94254">
        <w:rPr>
          <w:rFonts w:ascii="Times New Roman" w:hAnsi="Times New Roman" w:cs="Times New Roman"/>
        </w:rPr>
        <w:t xml:space="preserve">It appears the relationship between white-tailed deer density and forest fragmentation </w:t>
      </w:r>
      <w:r w:rsidR="00E646A1">
        <w:rPr>
          <w:rFonts w:ascii="Times New Roman" w:hAnsi="Times New Roman" w:cs="Times New Roman"/>
        </w:rPr>
        <w:t xml:space="preserve">and land cover type </w:t>
      </w:r>
      <w:r w:rsidR="00B94254">
        <w:rPr>
          <w:rFonts w:ascii="Times New Roman" w:hAnsi="Times New Roman" w:cs="Times New Roman"/>
        </w:rPr>
        <w:t xml:space="preserve">can be modulated by several factors. Studies in New York City have indicated white-tailed deer are more likely to use natural land cover, while forest connectivity was positively related to nymphal </w:t>
      </w:r>
      <w:r w:rsidR="00B94254">
        <w:rPr>
          <w:rFonts w:ascii="Times New Roman" w:hAnsi="Times New Roman" w:cs="Times New Roman"/>
          <w:i/>
          <w:iCs/>
        </w:rPr>
        <w:t xml:space="preserve">I. scapularis </w:t>
      </w:r>
      <w:r w:rsidR="00B94254">
        <w:rPr>
          <w:rFonts w:ascii="Times New Roman" w:hAnsi="Times New Roman" w:cs="Times New Roman"/>
        </w:rPr>
        <w:t xml:space="preserve">prevalence </w:t>
      </w:r>
      <w:r w:rsidR="00B94254">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{"citationID":"yhyyvkGa","properties":{"formattedCitation":"(VanAcker et al., 2023, 2019)","plainCitation":"(VanAcker et al., 2023, 2019)","noteIndex":0},"citationItems":[{"id":2084,"uris":["http://zotero.org/users/6220652/items/PLQ8UHN3"],"itemData":{"id":2084,"type":"article-journal","container-title":"Emerging Infectious Diseases","DOI":"10.3201/eid2506.181741","ISSN":"1080-6040, 1080-6059","issue":"6","journalAbbreviation":"Emerg. Infect. Dis.","page":"1136-1143","source":"DOI.org (Crossref)","title":"Enhancement of Risk for Lyme Disease by Landscape Connectivity, New York, New York, USA","URL":"http://wwwnc.cdc.gov/eid/article/25/6/18-1741_article.htm","volume":"25","author":[{"family":"VanAcker","given":"Meredith C."},{"family":"Little","given":"Eliza A.H."},{"family":"Molaei","given":"Goudarz"},{"family":"Bajwa","given":"Waheed I."},{"family":"Diuk-Wasser","given":"Maria A."}],"accessed":{"date-parts":[["2022",7,1]]},"issued":{"date-parts":[["2019",6]]}}},{"id":2429,"uris":["http://zotero.org/users/6220652/items/R6JY4V6H"],"itemData":{"id":2429,"type":"article-journal","abstract":"Abstract\n            \n              Although the role of host movement in shaping infectious disease dynamics is widely acknowledged, methodological separation between animal movement and disease ecology has prevented researchers from leveraging empirical insights from movement data to advance landscape scale understanding of infectious disease risk. To address this knowledge gap, we examine how movement behaviour and resource utilization by white‐tailed deer (\n              Odocoileus virginianus\n              ) determines blacklegged tick (\n              Ixodes scapularis\n              ) distribution, which depend on deer for dispersal in a highly fragmented New York City borough. Multi‐scale hierarchical resource selection analysis and movement modelling provide insight into how deer's movements contribute to the risk landscape for human exposure to the Lyme disease vector–\n              I. scapularis\n              . We find deer select highly vegetated and accessible residential properties which support blacklegged tick survival. We conclude the distribution of tick‐borne disease risk results from the individual resource selection by deer across spatial scales in response to habitat fragmentation and anthropogenic disturbances.","container-title":"Ecology Letters","DOI":"10.1111/ele.14326","ISSN":"1461-023X, 1461-0248","journalAbbreviation":"Ecology Letters","language":"en","page":"ele.14326","source":"DOI.org (Crossref)","title":"Resource selection by New York City deer reveals the effective interface between wildlife, zoonotic hazards and humans","URL":"https://onlinelibrary.wiley.com/doi/10.1111/ele.14326","author":[{"family":"VanAcker","given":"Meredith C."},{"family":"DeNicola","given":"Vickie L."},{"family":"DeNicola","given":"Anthony J."},{"family":"Aucoin","given":"Sarah Grimké"},{"family":"Simon","given":"Richard"},{"family":"Toal","given":"Katrina L."},{"family":"Diuk‐Wasser","given":"Maria A."},{"family":"Cagnacci","given":"Francesca"}],"accessed":{"date-parts":[["2023",10,29]]},"issued":{"date-parts":[["2023",10,26]]}}}],"schema":"https://github.com/citation-style-language/schema/raw/master/csl-citation.json"} </w:instrText>
      </w:r>
      <w:r w:rsidR="00B94254">
        <w:rPr>
          <w:rFonts w:ascii="Times New Roman" w:hAnsi="Times New Roman" w:cs="Times New Roman"/>
        </w:rPr>
        <w:fldChar w:fldCharType="separate"/>
      </w:r>
      <w:r w:rsidR="00F12320">
        <w:rPr>
          <w:rFonts w:ascii="Times New Roman" w:hAnsi="Times New Roman" w:cs="Times New Roman"/>
          <w:noProof/>
        </w:rPr>
        <w:t>(VanAcker et al., 2023, 2019)</w:t>
      </w:r>
      <w:r w:rsidR="00B94254">
        <w:rPr>
          <w:rFonts w:ascii="Times New Roman" w:hAnsi="Times New Roman" w:cs="Times New Roman"/>
        </w:rPr>
        <w:fldChar w:fldCharType="end"/>
      </w:r>
      <w:r w:rsidR="00B94254">
        <w:rPr>
          <w:rFonts w:ascii="Times New Roman" w:hAnsi="Times New Roman" w:cs="Times New Roman"/>
        </w:rPr>
        <w:t xml:space="preserve">. </w:t>
      </w:r>
      <w:r w:rsidR="00D17BF1">
        <w:rPr>
          <w:rFonts w:ascii="Times New Roman" w:hAnsi="Times New Roman" w:cs="Times New Roman"/>
        </w:rPr>
        <w:t>Conversely</w:t>
      </w:r>
      <w:r w:rsidR="00B94254">
        <w:rPr>
          <w:rFonts w:ascii="Times New Roman" w:hAnsi="Times New Roman" w:cs="Times New Roman"/>
        </w:rPr>
        <w:t xml:space="preserve">, studies in </w:t>
      </w:r>
      <w:r w:rsidR="00E646A1">
        <w:rPr>
          <w:rFonts w:ascii="Times New Roman" w:hAnsi="Times New Roman" w:cs="Times New Roman"/>
        </w:rPr>
        <w:t xml:space="preserve">wildlife preserves, </w:t>
      </w:r>
      <w:r w:rsidR="00B94254">
        <w:rPr>
          <w:rFonts w:ascii="Times New Roman" w:hAnsi="Times New Roman" w:cs="Times New Roman"/>
        </w:rPr>
        <w:t>suburba</w:t>
      </w:r>
      <w:r w:rsidR="00E646A1">
        <w:rPr>
          <w:rFonts w:ascii="Times New Roman" w:hAnsi="Times New Roman" w:cs="Times New Roman"/>
        </w:rPr>
        <w:t>n</w:t>
      </w:r>
      <w:r w:rsidR="00310780">
        <w:rPr>
          <w:rFonts w:ascii="Times New Roman" w:hAnsi="Times New Roman" w:cs="Times New Roman"/>
        </w:rPr>
        <w:t>,</w:t>
      </w:r>
      <w:r w:rsidR="00E646A1">
        <w:rPr>
          <w:rFonts w:ascii="Times New Roman" w:hAnsi="Times New Roman" w:cs="Times New Roman"/>
        </w:rPr>
        <w:t xml:space="preserve"> and </w:t>
      </w:r>
      <w:r w:rsidR="00B94254">
        <w:rPr>
          <w:rFonts w:ascii="Times New Roman" w:hAnsi="Times New Roman" w:cs="Times New Roman"/>
        </w:rPr>
        <w:t>rural</w:t>
      </w:r>
      <w:r w:rsidR="00E646A1">
        <w:rPr>
          <w:rFonts w:ascii="Times New Roman" w:hAnsi="Times New Roman" w:cs="Times New Roman"/>
        </w:rPr>
        <w:t xml:space="preserve"> areas </w:t>
      </w:r>
      <w:r w:rsidR="00B94254">
        <w:rPr>
          <w:rFonts w:ascii="Times New Roman" w:hAnsi="Times New Roman" w:cs="Times New Roman"/>
        </w:rPr>
        <w:t xml:space="preserve">may present conflicting evidence on the relationship between deer presence and natural land cover </w:t>
      </w:r>
      <w:r w:rsidR="00B94254">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{"citationID":"TVs91XZy","properties":{"formattedCitation":"(Harveson et al., 2007; Hinton et al., 2022; Maurer et al., 2022, 2022; Peterson et al., 2005; Urbanek and Nielsen, 2013)","plainCitation":"(Harveson et al., 2007; Hinton et al., 2022; Maurer et al., 2022, 2022; Peterson et al., 2005; Urbanek and Nielsen, 2013)","noteIndex":0},"citationItems":[{"id":2637,"uris":["http://zotero.org/users/6220652/items/3WWCSGIC"],"itemData":{"id":2637,"type":"article-journal","container-title":"Biological Conservation","DOI":"10.1016/j.biocon.2006.07.022","ISSN":"00063207","issue":"3","journalAbbreviation":"Biological Conservation","language":"en","license":"https://www.elsevier.com/tdm/userlicense/1.0/","page":"321-331","source":"DOI.org (Crossref)","title":"Impacts of urbanization on Florida Key deer behavior and population dynamics","URL":"https://linkinghub.elsevier.com/retrieve/pii/S0006320706003363","volume":"134","author":[{"family":"Harveson","given":"Patricia M."},{"family":"Lopez","given":"Roel R."},{"family":"Collier","given":"Bret A."},{"family":"Silvy","given":"Nova J."}],"accessed":{"date-parts":[["2024",5,13]]},"issued":{"date-parts":[["2007",1]]}}},{"id":2442,"uris":["http://zotero.org/users/6220652/items/ADHQ5U5C"],"itemData":{"id":2442,"type":"article-journal","abstract":"In the Adirondack Park region of northern New York, USA, white-tailed deer (\n              Odocoileus virginianus\n              ) and moose (\n              Alces alces\n              ) co-occur along a temperate-boreal forest ecotone. In this region, moose exist as a small and vulnerable low-density population and over-browsing by white-tailed deer is known to reduce regeneration, sustainability, and health of forests. Here, we assess the distribution and abundance of white-tailed deer at a broad spatial scale relevant for deer and moose management in northern New York. We used density surface modeling (DSM) under a conventional distance sampling framework, tied to a winter aerial survey, to create a spatially explicit estimate of white-tailed deer abundance and density across a vast, northern forest region. We estimated 16,352 white-tailed deer (95% CI 11,762–22,734) throughout the Adirondack Park with local density ranging between 0.00–5.73 deer/km\n              2\n              . Most of the Adirondack Park (91.2%) supported white-tailed deer densities of ≤2 individuals/km\n              2\n              . White-tailed deer density increased with increasing proximity to anthropogenic land cover such as timber cuts, roads, and agriculture and decreased in areas with increasing elevation and days with snow cover. We conclude that climate change will be more favorable for white-tailed deer than for moose because milder winters and increased growing seasons will likely have a pronounced influence on deer abundance and distribution across the Adirondack Park. Therefore, identifying specific environmental conditions facilitating the expansion of white-tailed deer into areas with low-density moose populations can assist managers in anticipating potential changes in ungulate distribution and abundance and to develop appropriate management actions to mitigate negative consequences such as disease spread and increased competition for limiting resources.","container-title":"PLOS ONE","DOI":"10.1371/journal.pone.0273707","ISSN":"1932-6203","issue":"8","journalAbbreviation":"PLoS ONE","language":"en","page":"e0273707","source":"DOI.org (Crossref)","title":"A model-based estimate of winter distribution and abundance of white-tailed deer in the Adirondack Park","URL":"https://dx.plos.org/10.1371/journal.pone.0273707","volume":"17","author":[{"family":"Hinton","given":"Joseph W."},{"family":"Hurst","given":"Jeremy E."},{"family":"Kramer","given":"David W."},{"family":"Stickles","given":"James H."},{"family":"Frair","given":"Jacqueline L."}],"editor":[{"family":"Walter","given":"W. David"}],"accessed":{"date-parts":[["2023",11,17]]},"issued":{"date-parts":[["2022",8,30]]}}},{"id":2638,"uris":["http://zotero.org/users/6220652/items/NXCZ6ZJ6"],"itemData":{"id":2638,"type":"article-journal","container-title":"Landscape and Urban Planning","DOI":"10.1016/j.landurbplan.2022.104391","ISSN":"01692046","journalAbbreviation":"Landscape and Urban Planning","language":"en","page":"104391","source":"DOI.org (Crossref)","title":"Urbanization affects the behavior of a predator-free ungulate in protected lands","URL":"https://linkinghub.elsevier.com/retrieve/pii/S0169204622000408","volume":"222","author":[{"family":"Maurer","given":"Andrew S."},{"family":"Cove","given":"Michael V."},{"family":"Siegal","given":"Olivia M."},{"family":"Lashley","given":"Marcus A."}],"accessed":{"date-parts":[["2024",5,13]]},"issued":{"date-parts":[["2022",6]]}}},{"id":2638,"uris":["http://zotero.org/users/6220652/items/NXCZ6ZJ6"],"itemData":{"id":2638,"type":"article-journal","container-title":"Landscape and Urban Planning","DOI":"10.1016/j.landurbplan.2022.104391","ISSN":"01692046","journalAbbreviation":"Landscape and Urban Planning","language":"en","page":"104391","source":"DOI.org (Crossref)","title":"Urbanization affects the behavior of a predator-free ungulate in protected lands","URL":"https://linkinghub.elsevier.com/retrieve/pii/S0169204622000408","volume":"222","author":[{"family":"Maurer","given":"Andrew S."},{"family":"Cove","given":"Michael V."},{"family":"Siegal","given":"Olivia M."},{"family":"Lashley","given":"Marcus A."}],"accessed":{"date-parts":[["2024",5,13]]},"issued":{"date-parts":[["2022",6]]}}},{"id":2641,"uris":["http://zotero.org/users/6220652/items/MF9CDTFZ"],"itemData":{"id":2641,"type":"article-journal","abstract":"Abstract: \n              Wildlife extinction represents the ultimate failure of wildlife conservation. It has many causes, some of them natural, but is increasingly tied to anthropogenic factors. Wildlife loss via domestication, however, is rarely considered. We evaluated the potential for inadvertent domestication of wildlife by determining the effect of feeding and watering on Key deer (\n              Odocoileus virginianus clavium\n              ) density, group size, and distribution. Key deer sightings were significantly higher in areas (42 ha) surrounding the households that provided food and water (0.18 deer/m;\n              \n                n =\n                8\n              \n              )\n              than in randomly selected areas (0.03 deer/m;\n              \n                t =\n                3.82, 14  df,\n                p =\n                0.002\n              \n              ). Average distance to a household providing food and water decreased logistically as group size increased, and large groups (&gt;2 individuals each) were observed more frequently in areas where food and water were provided (27.5%) than in the randomly selected areas (7.5%). The incidence of large groups outside feeding areas (7.5%), however, was similar to the incidence of large groups during early urbanization (5.1%; 1968–1973). Our results suggest illegal feeding caused changes in density, group size, and distribution indicative of domestication. Because fresh water and food were primary selective pressures for Key deer before illegal feeding and watering, genetic changes may occur in the future. For those who value “wildness” in wildlife, domestication of wildlife species is a serious problem that must be addressed.\n            \n          , \n            \n              \n              \n                Resumen: \n                La extinción de especies es el fracaso extremo de la conservación de vida silvestre. Tiene muchas causas, algunas naturales, pero cada vez más relacionadas con factores antropogénicos. Sin embargo, raramente se considera la pérdida de vida silvestre por domesticación. Evaluamos el potencial de domesticación accidental de vida silvestre mediante la determinación del efecto del suministro de agua y alimento al venado Odocoileus virginianus clavium sobre su densidad, tamaño del grupo y distribución. Los avistamientos de venados fueron significativamente mayores (0.18 venados/m; n = 8) en áreas (42 ha) circundantes a las casas en las que se les suministró agua y alimento que en áreas seleccionadas al azar (0.03 venados/m; 14 gl, p = 0.002). La distancia promedio a una casa que suministró agua y alimento decreció logísticamente a medida que aumentó el tamaño del grupo, y se observaron grupos grandes (&gt;2 individuos) más frecuentemente en áreas en las que se suministraba agua y alimento (27.5%) que en áreas seleccionadas al azar (7.5%). Sin embargo, la incidencia de grupos grandes afuera de áreas de alimentación (7.5%) fue similar a la incidencia de grupos grandes durante los inicios de la urbanización (6.1%; 1968–1973). Nuestros resultados sugieren que la alimentación ilegal provocó cambios en la densidad, tamaño del grupo y distribución que indican domesticación. En el futuro pueden ocurrir cambios genéticos debido a que el agua fresca y el alimento fueron presiones de selección primaria para Odocoileus virginianus clavium antes del suministro ilegal. Para quienes valoran “lo silvestre” de la vida silvestre, la domesticación de especies de vida silvestre es un problema serio que debe ser atendido.","container-title":"Conservation Biology","DOI":"10.1111/j.1523-1739.2005.00069.x","ISSN":"0888-8892, 1523-1739","issue":"3","journalAbbreviation":"Conservation Biology","language":"en","page":"939-944","source":"DOI.org (Crossref)","title":"Wildlife Loss through Domestication: the Case of Endangered Key Deer","title-short":"Wildlife Loss through Domestication","URL":"https://conbio.onlinelibrary.wiley.com/doi/10.1111/j.1523-1739.2005.00069.x","volume":"19","author":[{"family":"Peterson","given":"M. Nils"},{"family":"Lopez","given":"Roel R."},{"family":"Laurent","given":"Edward J."},{"family":"Frank","given":"Philip A."},{"family":"Silvy","given":"Nova J."},{"family":"Liu","given":"Jianguo"}],"accessed":{"date-parts":[["2024",5,13]]},"issued":{"date-parts":[["2005",6]]}}},{"id":2656,"uris":["http://zotero.org/users/6220652/items/AZK7KJL9"],"itemData":{"id":2656,"type":"article-journal","container-title":"Landscape and Urban Planning","DOI":"10.1016/j.landurbplan.2013.02.006","ISSN":"01692046","journalAbbreviation":"Landscape and Urban Planning","language":"en","license":"https://www.elsevier.com/tdm/userlicense/1.0/","page":"28-36","source":"DOI.org (Crossref)","title":"Influence of landscape factors on density of suburban white-tailed deer","URL":"https://linkinghub.elsevier.com/retrieve/pii/S0169204613000273","volume":"114","author":[{"family":"Urbanek","given":"Rachael E."},{"family":"Nielsen","given":"Clayton K."}],"accessed":{"date-parts":[["2024",5,30]]},"issued":{"date-parts":[["2013",6]]}}}],"schema":"https://github.com/citation-style-language/schema/raw/master/csl-citation.json"} </w:instrText>
      </w:r>
      <w:r w:rsidR="00B94254">
        <w:rPr>
          <w:rFonts w:ascii="Times New Roman" w:hAnsi="Times New Roman" w:cs="Times New Roman"/>
        </w:rPr>
        <w:fldChar w:fldCharType="separate"/>
      </w:r>
      <w:r w:rsidR="00F12320">
        <w:rPr>
          <w:rFonts w:ascii="Times New Roman" w:hAnsi="Times New Roman" w:cs="Times New Roman"/>
          <w:noProof/>
        </w:rPr>
        <w:t>(Harveson et al., 2007; Hinton et al., 2022; Maurer et al., 2022, 2022; Peterson et al., 2005; Urbanek and Nielsen, 2013)</w:t>
      </w:r>
      <w:r w:rsidR="00B94254">
        <w:rPr>
          <w:rFonts w:ascii="Times New Roman" w:hAnsi="Times New Roman" w:cs="Times New Roman"/>
        </w:rPr>
        <w:fldChar w:fldCharType="end"/>
      </w:r>
      <w:r w:rsidR="00B94254">
        <w:rPr>
          <w:rFonts w:ascii="Times New Roman" w:hAnsi="Times New Roman" w:cs="Times New Roman"/>
        </w:rPr>
        <w:t xml:space="preserve">. In NYS, </w:t>
      </w:r>
      <w:r w:rsidR="00A002E3">
        <w:rPr>
          <w:rFonts w:ascii="Times New Roman" w:hAnsi="Times New Roman" w:cs="Times New Roman"/>
        </w:rPr>
        <w:t>t</w:t>
      </w:r>
      <w:r w:rsidR="008F4326">
        <w:rPr>
          <w:rFonts w:ascii="Times New Roman" w:hAnsi="Times New Roman" w:cs="Times New Roman"/>
        </w:rPr>
        <w:t>he Adirondack park is a mountainous region of nearly 25,000 km</w:t>
      </w:r>
      <w:r w:rsidR="008F4326">
        <w:rPr>
          <w:rFonts w:ascii="Times New Roman" w:hAnsi="Times New Roman" w:cs="Times New Roman"/>
          <w:vertAlign w:val="superscript"/>
        </w:rPr>
        <w:t>2</w:t>
      </w:r>
      <w:r w:rsidR="008F4326">
        <w:rPr>
          <w:rFonts w:ascii="Times New Roman" w:hAnsi="Times New Roman" w:cs="Times New Roman"/>
        </w:rPr>
        <w:t xml:space="preserve"> </w:t>
      </w:r>
      <w:r w:rsidR="00A002E3">
        <w:rPr>
          <w:rFonts w:ascii="Times New Roman" w:hAnsi="Times New Roman" w:cs="Times New Roman"/>
        </w:rPr>
        <w:t>and consists of large connected forests but generally low estimates of deer density</w:t>
      </w:r>
      <w:r w:rsidR="00B94254">
        <w:rPr>
          <w:rFonts w:ascii="Times New Roman" w:hAnsi="Times New Roman" w:cs="Times New Roman"/>
        </w:rPr>
        <w:t xml:space="preserve">, tick-borne pathogen prevalence and tick-borne disease </w:t>
      </w:r>
      <w:r w:rsidR="00A002E3">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{"citationID":"vxk8YYi1","properties":{"formattedCitation":"(Foley et al., 2023; Hinton et al., 2022; Hurst and Porter, 2008; Khatchikian et al., 2015, 2012; O\\uc0\\u8217{}Connor et al., 2024; Prusinski et al., 2023, 2014; Russell et al., 2021)","plainCitation":"(Foley et al., 2023; Hinton et al., 2022; Hurst and Porter, 2008; Khatchikian et al., 2015, 2012; O’Connor et al., 2024; Prusinski et al., 2023, 2014; Russell et al., 2021)","noteIndex":0},"citationItems":[{"id":2418,"uris":["http://zotero.org/users/6220652/items/27CEB2EY"],"itemData":{"id":2418,"type":"article-journal","abstract":"Abstract\n            Blacklegged ticks (Ixodes scapularis Say, Acari: Ixodidae) were collected from 432 locations across New York State (NYS) during the summer and autumn of 2015–2020 to determine the prevalence and geographic distribution of Borrelia miyamotoi (Spirochaetales: Spirochaetaceae) and coinfections with other tick-borne pathogens. A total of 48,386 I. scapularis were individually analyzed using a multiplex real-time polymerase chain reaction assay to simultaneously detect the presence of Bo. miyamotoi, Borrelia burgdorferi (Spirochaetales: Spirochaetaceae), Anaplasma phagocytophilum (Rickettsiales: Anaplasmataceae), and Babesia microti (Piroplasmida: Babesiidae). Overall prevalence of Bo. miyamotoi in host-seeking nymphs and adults varied geographically and temporally at the regional level. The rate of polymicrobial infection in Bo. miyamotoi-infected ticks varied by developmental stage, with certain co-infections occurring more frequently than expected by chance. Entomological risk of exposure to Bo. miyamotoi-infected nymphal and adult ticks (entomological risk index [ERI]) across NYS regions in relation to human cases of Bo. miyamotoi disease identified during the study period demonstrated spatial and temporal variation. The relationship between select environmental factors and Bo. miyamotoi ERI was explored using generalized linear mixed effects models, resulting in different factors significantly impacting ERI for nymphs and adult ticks. These results can inform estimates of Bo. miyamotoi disease risk and further our understanding of Bo. miyamotoi ecological dynamics in regions where this pathogen is known to occur.","container-title":"Journal of Medical Entomology","DOI":"10.1093/jme/tjad054","ISSN":"0022-2585, 1938-2928","issue":"4","language":"en","license":"All rights reserved","page":"808-821","source":"DOI.org (Crossref)","title":"Spatiotemporal distribution of &lt;i&gt;Borrelia miyamotoi&lt;/i&gt; (Spirochaetales: Spirochaetaceae) and coinfection with other tick-borne pathogens in host-seeking &lt;i&gt;Ixodes scapularis&lt;/i&gt; (Acari: Ixodidae) from New York State, USA","title-short":"Spatiotemporal distribution of &lt;i&gt;Borrelia miyamotoi&lt;/i&gt; (Spirochaetales","URL":"https://academic.oup.com/jme/article/60/4/808/7157078","volume":"60","author":[{"family":"Foley","given":"Nicole"},{"family":"O’Connor","given":"Collin"},{"family":"Falco","given":"Richard C"},{"family":"Vinci","given":"Vanessa"},{"family":"Oliver","given":"JoAnne"},{"family":"Haight","given":"Jamie"},{"family":"Sporn","given":"Lee Ann"},{"family":"Harrington","given":"Laura"},{"family":"Mader","given":"Emily"},{"family":"Wroblewski","given":"Danielle"},{"family":"Backenson","given":"P Bryon"},{"family":"Prusinski","given":"Melissa A"}],"editor":[{"family":"Diuk-Wasser","given":"Maria"}],"accessed":{"date-parts":[["2023",8,7]]},"issued":{"date-parts":[["2023",7,12]]}}},{"id":2442,"uris":["http://zotero.org/users/6220652/items/ADHQ5U5C"],"itemData":{"id":2442,"type":"article-journal","abstract":"In the Adirondack Park region of northern New York, USA, white-tailed deer (\n              Odocoileus virginianus\n              ) and moose (\n              Alces alces\n              ) co-occur along a temperate-boreal forest ecotone. In this region, moose exist as a small and vulnerable low-density population and over-browsing by white-tailed deer is known to reduce regeneration, sustainability, and health of forests. Here, we assess the distribution and abundance of white-tailed deer at a broad spatial scale relevant for deer and moose management in northern New York. We used density surface modeling (DSM) under a conventional distance sampling framework, tied to a winter aerial survey, to create a spatially explicit estimate of white-tailed deer abundance and density across a vast, northern forest region. We estimated 16,352 white-tailed deer (95% CI 11,762–22,734) throughout the Adirondack Park with local density ranging between 0.00–5.73 deer/km\n              2\n              . Most of the Adirondack Park (91.2%) supported white-tailed deer densities of ≤2 individuals/km\n              2\n              . White-tailed deer density increased with increasing proximity to anthropogenic land cover such as timber cuts, roads, and agriculture and decreased in areas with increasing elevation and days with snow cover. We conclude that climate change will be more favorable for white-tailed deer than for moose because milder winters and increased growing seasons will likely have a pronounced influence on deer abundance and distribution across the Adirondack Park. Therefore, identifying specific environmental conditions facilitating the expansion of white-tailed deer into areas with low-density moose populations can assist managers in anticipating potential changes in ungulate distribution and abundance and to develop appropriate management actions to mitigate negative consequences such as disease spread and increased competition for limiting resources.","container-title":"PLOS ONE","DOI":"10.1371/journal.pone.0273707","ISSN":"1932-6203","issue":"8","journalAbbreviation":"PLoS ONE","language":"en","page":"e0273707","source":"DOI.org (Crossref)","title":"A model-based estimate of winter distribution and abundance of white-tailed deer in the Adirondack Park","URL":"https://dx.plos.org/10.1371/journal.pone.0273707","volume":"17","author":[{"family":"Hinton","given":"Joseph W."},{"family":"Hurst","given":"Jeremy E."},{"family":"Kramer","given":"David W."},{"family":"Stickles","given":"James H."},{"family":"Frair","given":"Jacqueline L."}],"editor":[{"family":"Walter","given":"W. David"}],"accessed":{"date-parts":[["2023",11,17]]},"issued":{"date-parts":[["2022",8,30]]}}},{"id":858,"uris":["http://zotero.org/users/6220652/items/AWSGX738"],"itemData":{"id":858,"type":"article-journal","container-title":"Journal of Wildlife Management","DOI":"10.2193/2006-421","ISSN":"0022-541X, 1937-2817","issue":"2","journalAbbreviation":"Journal of Wildlife Management","language":"en","page":"367-375","source":"DOI.org (Crossref)","title":"Evaluation of Shifts in White-Tailed Deer Winter Yards in the Adirondack Region of New York","URL":"http://www.bioone.org/doi/abs/10.2193/2006-421","volume":"72","author":[{"family":"Hurst","given":"Jeremy E."},{"family":"Porter","given":"William F."}],"accessed":{"date-parts":[["2021",2,4]]},"issued":{"date-parts":[["2008",2]]}}},{"id":286,"uris":["http://zotero.org/users/6220652/items/MLWFYEBT"],"itemData":{"id":286,"type":"article-journal","abstract":"The population densities of many organisms have changed dramatically in recent history. Increases in the population density of medically relevant organisms are of particular importance to public health as they are often correlated with the emergence of infectious diseases in human populations. Our aim is to delineate increases in density of a common disease vector in North America, the blacklegged tick, and to identify the environmental factors correlated with these population dynamics. Empirical data that capture the growth of a population are often necessary to identify environmental factors associated with these dynamics. We analyzed temporally- and spatially-structured field collected data in a geographical information systems framework to describe the population growth of blacklegged ticks (Ixodes scapularis) and to identify environmental and climatic factors correlated with these dynamics. The density of the ticks increased throughout the study’s temporal and spatial ranges. Tick density increases were positively correlated with mild temperatures, low precipitation, low forest cover, and high urbanization. Importantly, models that accounted for these environmental factors accurately forecast future tick densities across the region. Tick density increased annually along the south-tonorth gradient. These trends parallel the increases in human incidences of diseases commonly vectored by I. scapularis. For example, I. scapularis densities are correlated with human Lyme disease incidence, albeit in a non-linear manner that disappears at low tick densities, potentially indicating that a threshold tick density is needed to support epidemiologically-relevant levels of the Lyme disease bacterium. Our results demonstrate a connection between the biogeography of this species and public health.","container-title":"Ecosphere","DOI":"10.1890/ES12-00134.1","ISSN":"2150-8925","issue":"10","journalAbbreviation":"Ecosphere","language":"en","page":"art85","source":"DOI.org (Crossref)","title":"Geographical and environmental factors driving the increase in the Lyme disease vector &lt;i&gt;Ixodes scapularis&lt;/i&gt;","URL":"http://doi.wiley.com/10.1890/ES12-00134.1","volume":"3","author":[{"family":"Khatchikian","given":"Camilo E."},{"family":"Prusinski","given":"Melissa"},{"family":"Stone","given":"Melissa"},{"family":"Backenson","given":"P. Bryon"},{"family":"Wang","given":"Ing-Nang"},{"family":"Levy","given":"Michael Z."},{"family":"Brisson","given":"Dustin"}],"accessed":{"date-parts":[["2020",3,22]]},"issued":{"date-parts":[["2012",10,3]]}}},{"id":1081,"uris":["http://zotero.org/users/6220652/items/4DWF2F4W"],"itemData":{"id":1081,"type":"article-journal","container-title":"Evolution","DOI":"10.1111/evo.12690","ISSN":"00143820","issue":"7","journalAbbreviation":"Evolution","language":"en","page":"1678-1689","source":"DOI.org (Crossref)","title":"Recent and rapid population growth and range expansion of the Lyme disease tick vector, &lt;i&gt;Ixodes scapularis&lt;/i&gt; , in North America: POPULATION AND RANGE EXPANSION OF TICKS","title-short":"Recent and rapid population growth and range expansion of the Lyme disease tick vector, &lt;i&gt;Ixodes scapularis&lt;/i&gt; , in North America","URL":"http://doi.wiley.com/10.1111/evo.12690","volume":"69","author":[{"family":"Khatchikian","given":"Camilo E."},{"family":"Prusinski","given":"Melissa A."},{"family":"Stone","given":"Melissa"},{"family":"Backenson","given":"Peter Bryon"},{"family":"Wang","given":"Ing-Nang"},{"family":"Foley","given":"Erica"},{"family":"Seifert","given":"Stephanie N."},{"family":"Levy","given":"Michael Z."},{"family":"Brisson","given":"Dustin"}],"accessed":{"date-parts":[["2021",3,10]]},"issued":{"date-parts":[["2015",7]]}}},{"id":2629,"uris":["http://zotero.org/users/6220652/items/MYYJVBNX"],"itemData":{"id":2629,"type":"article-journal","abstract":"Abstract\n            The modifiable areal unit problem (MAUP) is a cause of statistical and visual bias when aggregating data according to spatial units, particularly when spatial units may be changed arbitrarily. The MAUP is a concern in vector-borne disease research when entomological metrics gathered from point-level sampling data are related to epidemiological data aggregated to administrative units like counties or ZIP Codes. Here, we assess the statistical impact of the MAUP when calculating correlations between randomly aggregated cases of anaplasmosis in New York State during 2017 and a geostatistical layer of an entomological risk index for Anaplasma phagocytophilum in blacklegged ticks (Ixodes scapularis Say, Acari: Ixodidae) collected during the fall of 2017. Correlations were also calculated using various administrative boundaries for comparison. We also demonstrate the impact of the MAUP on data visualization using choropleth maps and offer pycnophylactic interpolation as an alternative. Polygon simulations indicate that increasing the number of polygons decreases correlation coefficients and their variability. Correlation coefficients calculated using ZIP Code tabulation area and Census tract polygons were beyond 4 standard deviations from the mean of the simulated correlation coefficients. These results indicate that using smaller polygons may not best incorporate the geographical context of the tick-borne disease system, despite the tendency of researchers to strive for more granular spatial data and associations.","container-title":"Journal of Medical Entomology","DOI":"10.1093/jme/tjad157","ISSN":"0022-2585, 1938-2928","issue":"2","language":"en","license":"https://academic.oup.com/pages/standard-publication-reuse-rights","page":"331-344","source":"DOI.org (Crossref)","title":"Assessing the impact of areal unit selection and the modifiable areal unit problem on associative statistics between cases of tick-borne disease and entomological indices","URL":"https://academic.oup.com/jme/article/61/2/331/7503857","volume":"61","author":[{"family":"O’Connor","given":"Collin"},{"family":"Prusinski","given":"Melissa A"},{"family":"Aldstadt","given":"Jared"},{"family":"Falco","given":"Richard C"},{"family":"Oliver","given":"JoAnne"},{"family":"Haight","given":"Jamie"},{"family":"Tober","given":"Keith"},{"family":"Sporn","given":"Lee Ann"},{"family":"White","given":"Jennifer"},{"family":"Brisson","given":"Dustin"},{"family":"Backenson","given":"P Bryon"}],"editor":[{"family":"Diuk-Wasser","given":"Maria"}],"accessed":{"date-parts":[["2024",5,8]]},"issued":{"date-parts":[["2024",3,13]]}}},{"id":2332,"uris":["http://zotero.org/users/6220652/items/7I9L73YH"],"itemData":{"id":2332,"type":"article-journal","container-title":"Emerging Infectious Diseases","DOI":"10.3201/eid2903.220320","ISSN":"1080-6040, 1080-6059","issue":"3","journalAbbreviation":"Emerg. Infect. Dis.","license":"All rights reserved","source":"DOI.org (Crossref)","title":"Associations of &lt;i&gt;Anaplasma phagocytophilum&lt;/i&gt; Bacteria Variants in &lt;i&gt;Ixodes scapularis&lt;/i&gt; Ticks and Humans, New York, USA","URL":"https://wwwnc.cdc.gov/eid/article/29/3/22-0320_article","volume":"29","author":[{"family":"Prusinski","given":"Melissa"},{"family":"O’Connor","given":"Collin"},{"family":"Russell","given":"Alexis"},{"family":"Sommer","given":"Jamie"},{"family":"White","given":"Jennifer"},{"family":"Rose","given":"Lauren"},{"family":"Falco","given":"Richard"},{"family":"Kokas","given":"John"},{"family":"Vinci","given":"Vanessa"},{"family":"Gall","given":"Wayne"},{"family":"Tober","given":"Keith"},{"family":"Haight","given":"Jamie"},{"family":"Oliver","given":"JoAnne"},{"family":"Meehan","given":"Lisa"},{"family":"Sporn","given":"Lee Ann"},{"family":"Brisson","given":"Dustin"},{"family":"Backenson","given":"P. Bryon"}],"accessed":{"date-parts":[["2023",3,13]]},"issued":{"date-parts":[["2023",3]]}}},{"id":930,"uris":["http://zotero.org/users/6220652/items/G2PT4ZYX"],"itemData":{"id":930,"type":"article-journal","abstract":"ABSTRACT Blacklegged ticks, Ixodes scapularis Say, were collected from 27 sites in eight New York State counties from 2003 to 2006 to determine the prevalence and distribution of tick-borne pathogens in public-use areas over a 4-yr period. In total, 11,204 I. scapularis (3,300 nymphs and 7,904 adults) were individually analyzed using polymerase chain reaction to detect the presence of Borrelia burgdorferi (causative agent of Lyme disease), Anaplasma phagocytophilum (formerly Ehrlichia phagocytophila, causative agent of human granulocytic anaplasmosis), and Babesia microti (causative agent of human babesiosis). Overall prevalence of B. burgdorferi, A. phagocytophilum, and B. microti was 14.4, 6.5, and 2.7% in nymphs and 45.7, 12.3, and 2.5% in adult ticks, respectively. Rates varied geographically and temporally during the time period examined, and were related to measurements of tick density. Average rate ofpolymicrobial infection for nymphs and adults, respectively, was 1.5 and 8.5% overall, with 0.5 and 6.3% coinfection of B. burgdorferi and A. phagocytophilum, 1.0 and 1.5% B. burgdorferi and B. microti, and 0.05 and 0.6% A. phagocytophilum and B. microti. Thirty-three individual adult ticks from seven study sites in Westchester, Putnam, Dutchess, and Rockland counties tested positive for simultaneous infection with all three agents by multiplex polymerase chain reaction assay.","container-title":"Journal of Medical Entomology","DOI":"10.1603/me13101","ISSN":"0022-2585","issue":"1","journalAbbreviation":"J Med Entomol","language":"eng","note":"PMID: 24605473","page":"226-236","source":"PubMed","title":"Prevalence of &lt;i&gt;Borrelia burgdorferi&lt;/i&gt; (Spirochaetales: Spirochaetaceae), &lt;i&gt;Anaplasma phagocytophilum&lt;/i&gt; (Rickettsiales: Anaplasmataceae), and &lt;i&gt;Babesia microti&lt;/i&gt; (Piroplasmida: Babesiidae) in &lt;i&gt;Ixodes scapularis&lt;/i&gt; (Acari: Ixodidae) collected from recreational lands in the Hudson Valley Region, New York State","title-short":"Prevalence of Borrelia burgdorferi (Spirochaetales","volume":"51","author":[{"family":"Prusinski","given":"M. A."},{"family":"Kokas","given":"J. E."},{"family":"Hukey","given":"K. T."},{"family":"Kogut","given":"S. J."},{"family":"Lee","given":"J."},{"family":"Backenson","given":"P. B."}],"issued":{"date-parts":[["2014",1]]}}},{"id":1402,"uris":["http://zotero.org/users/6220652/items/DF2NCKZH"],"itemData":{"id":1402,"type":"article-journal","abstract":"Human granulocytic anaplasmosis, a tickborne disease caused by the bacterium Anaplasma phagocytophilum, was first identified during 1994 and is now an emerging public health threat in the United States. New York state (NYS) has experienced a recent increase in the incidence of anaplasmosis. We analyzed human case surveillance and tick surveillance data collected by the NYS Department of Health for spatiotemporal patterns of disease emergence. We describe the epidemiology and growing incidence of anaplasmosis cases reported during 2010-2018. Spatial analysis showed an expanding hot spot of anaplasmosis in the Capital Region, where incidence increased &gt;8-fold. The prevalence of A. phagocytophilum increased greatly within tick populations in the Capital Region over the same period, and entomologic risk factors were correlated with disease incidence at a local level. These results indicate that anaplasmosis is rapidly emerging in a geographically focused area of NYS, likely driven by localized changes in exposure risk.","container-title":"Emerging Infectious Diseases","DOI":"10.3201/eid2708.210133","ISSN":"1080-6059","issue":"8","journalAbbreviation":"Emerg Infect Dis","language":"eng","license":"All rights reserved","note":"PMID: 34287128","page":"2154-2162","source":"PubMed","title":"Epidemiology and Spatial Emergence of Anaplasmosis, New York, USA, 2010‒2018","volume":"27","author":[{"family":"Russell","given":"Alexis"},{"family":"Prusinski","given":"Melissa"},{"family":"Sommer","given":"Jamie"},{"family":"O'Connor","given":"Collin"},{"family":"White","given":"Jennifer"},{"family":"Falco","given":"Richard"},{"family":"Kokas","given":"John"},{"family":"Vinci","given":"Vanessa"},{"family":"Gall","given":"Wayne"},{"family":"Tober","given":"Keith"},{"family":"Haight","given":"Jamie"},{"family":"Oliver","given":"JoAnne"},{"family":"Meehan","given":"Lisa"},{"family":"Sporn","given":"Lee Ann"},{"family":"Brisson","given":"Dustin"},{"family":"Backenson","given":"P. Bryon"}],"issued":{"date-parts":[["2021",8]]}}}],"schema":"https://github.com/citation-style-language/schema/raw/master/csl-citation.json"} </w:instrText>
      </w:r>
      <w:r w:rsidR="00A002E3">
        <w:rPr>
          <w:rFonts w:ascii="Times New Roman" w:hAnsi="Times New Roman" w:cs="Times New Roman"/>
        </w:rPr>
        <w:fldChar w:fldCharType="separate"/>
      </w:r>
      <w:r w:rsidR="00F12320" w:rsidRPr="00F12320">
        <w:rPr>
          <w:rFonts w:ascii="Times New Roman" w:hAnsi="Times New Roman" w:cs="Times New Roman"/>
          <w:kern w:val="0"/>
        </w:rPr>
        <w:t>(Foley et al., 2023; Hinton et al., 2022; Hurst and Porter, 2008; Khatchikian et al., 2015, 2012; O’Connor et al., 2024; Prusinski et al., 2023, 2014; Russell et al., 2021)</w:t>
      </w:r>
      <w:r w:rsidR="00A002E3">
        <w:rPr>
          <w:rFonts w:ascii="Times New Roman" w:hAnsi="Times New Roman" w:cs="Times New Roman"/>
        </w:rPr>
        <w:fldChar w:fldCharType="end"/>
      </w:r>
      <w:r w:rsidR="00A002E3">
        <w:rPr>
          <w:rFonts w:ascii="Times New Roman" w:hAnsi="Times New Roman" w:cs="Times New Roman"/>
        </w:rPr>
        <w:t>.</w:t>
      </w:r>
      <w:r w:rsidR="008F4326">
        <w:rPr>
          <w:rFonts w:ascii="Times New Roman" w:hAnsi="Times New Roman" w:cs="Times New Roman"/>
        </w:rPr>
        <w:t xml:space="preserve"> </w:t>
      </w:r>
      <w:r w:rsidR="00E646A1">
        <w:rPr>
          <w:rFonts w:ascii="Times New Roman" w:hAnsi="Times New Roman" w:cs="Times New Roman"/>
        </w:rPr>
        <w:t xml:space="preserve">The effect modification of urbanization on the relationship between connectivity and white-tailed deer density is </w:t>
      </w:r>
      <w:r w:rsidR="00310780">
        <w:rPr>
          <w:rFonts w:ascii="Times New Roman" w:hAnsi="Times New Roman" w:cs="Times New Roman"/>
        </w:rPr>
        <w:t>described</w:t>
      </w:r>
      <w:r w:rsidR="00E646A1">
        <w:rPr>
          <w:rFonts w:ascii="Times New Roman" w:hAnsi="Times New Roman" w:cs="Times New Roman"/>
        </w:rPr>
        <w:t xml:space="preserve"> in O’Connor</w:t>
      </w:r>
      <w:r w:rsidR="00F12320">
        <w:rPr>
          <w:rFonts w:ascii="Times New Roman" w:hAnsi="Times New Roman" w:cs="Times New Roman"/>
        </w:rPr>
        <w:t xml:space="preserve"> et al.</w:t>
      </w:r>
      <w:r w:rsidR="00E646A1">
        <w:rPr>
          <w:rFonts w:ascii="Times New Roman" w:hAnsi="Times New Roman" w:cs="Times New Roman"/>
        </w:rPr>
        <w:t xml:space="preserve"> (in review), where geographically weighted regression models indicate positive relationships between deer density and connectivity in some regions of </w:t>
      </w:r>
      <w:r w:rsidR="00E646A1">
        <w:rPr>
          <w:rFonts w:ascii="Times New Roman" w:hAnsi="Times New Roman" w:cs="Times New Roman"/>
        </w:rPr>
        <w:lastRenderedPageBreak/>
        <w:t xml:space="preserve">NYS, and negative relationships in others. </w:t>
      </w:r>
      <w:r w:rsidR="00502B8B">
        <w:rPr>
          <w:rFonts w:ascii="Times New Roman" w:hAnsi="Times New Roman" w:cs="Times New Roman"/>
        </w:rPr>
        <w:t>Together, these results describe a scale-dependent and complex relationship between white-tailed deer, forest fragmentation, and land use.</w:t>
      </w:r>
    </w:p>
    <w:p w14:paraId="5BB6C507" w14:textId="61F21418" w:rsidR="006D55C9" w:rsidRDefault="008A6EC0" w:rsidP="009D1183">
      <w:pPr>
        <w:spacing w:line="480" w:lineRule="auto"/>
        <w:ind w:firstLine="720"/>
        <w:rPr>
          <w:rFonts w:ascii="Times New Roman" w:hAnsi="Times New Roman" w:cs="Times New Roman"/>
        </w:rPr>
      </w:pPr>
      <w:r>
        <w:rPr>
          <w:rFonts w:ascii="Times New Roman" w:hAnsi="Times New Roman" w:cs="Times New Roman"/>
        </w:rPr>
        <w:t>To better define the role of white-tailed deer in the pathogen-vector-host system, t</w:t>
      </w:r>
      <w:r w:rsidR="00502B8B">
        <w:rPr>
          <w:rFonts w:ascii="Times New Roman" w:hAnsi="Times New Roman" w:cs="Times New Roman"/>
        </w:rPr>
        <w:t>his paper investigate</w:t>
      </w:r>
      <w:r>
        <w:rPr>
          <w:rFonts w:ascii="Times New Roman" w:hAnsi="Times New Roman" w:cs="Times New Roman"/>
        </w:rPr>
        <w:t>s</w:t>
      </w:r>
      <w:r w:rsidR="00502B8B">
        <w:rPr>
          <w:rFonts w:ascii="Times New Roman" w:hAnsi="Times New Roman" w:cs="Times New Roman"/>
        </w:rPr>
        <w:t xml:space="preserve"> </w:t>
      </w:r>
      <w:r>
        <w:rPr>
          <w:rFonts w:ascii="Times New Roman" w:hAnsi="Times New Roman" w:cs="Times New Roman"/>
        </w:rPr>
        <w:t>the following:</w:t>
      </w:r>
    </w:p>
    <w:p w14:paraId="33BBACD8" w14:textId="77777777" w:rsidR="006D55C9" w:rsidRDefault="006D55C9" w:rsidP="006D55C9">
      <w:pPr>
        <w:spacing w:line="480" w:lineRule="auto"/>
        <w:ind w:firstLine="720"/>
        <w:rPr>
          <w:rFonts w:ascii="Times New Roman" w:hAnsi="Times New Roman" w:cs="Times New Roman"/>
        </w:rPr>
      </w:pPr>
      <w:r w:rsidRPr="006D55C9">
        <w:rPr>
          <w:rFonts w:ascii="Times New Roman" w:hAnsi="Times New Roman" w:cs="Times New Roman"/>
        </w:rPr>
        <w:t>1.</w:t>
      </w:r>
      <w:r>
        <w:rPr>
          <w:rFonts w:ascii="Times New Roman" w:hAnsi="Times New Roman" w:cs="Times New Roman"/>
        </w:rPr>
        <w:t>) T</w:t>
      </w:r>
      <w:r w:rsidR="00502B8B" w:rsidRPr="006D55C9">
        <w:rPr>
          <w:rFonts w:ascii="Times New Roman" w:hAnsi="Times New Roman" w:cs="Times New Roman"/>
        </w:rPr>
        <w:t xml:space="preserve">he role of white-tailed deer </w:t>
      </w:r>
      <w:r w:rsidRPr="006D55C9">
        <w:rPr>
          <w:rFonts w:ascii="Times New Roman" w:hAnsi="Times New Roman" w:cs="Times New Roman"/>
        </w:rPr>
        <w:t xml:space="preserve">as they pertain to the dilution and amplification effects, or more specifically, how white-tailed deer impact entomological risk for pathogens which they are not a reservoir for, despite increasing </w:t>
      </w:r>
      <w:r w:rsidRPr="006D55C9">
        <w:rPr>
          <w:rFonts w:ascii="Times New Roman" w:hAnsi="Times New Roman" w:cs="Times New Roman"/>
          <w:i/>
          <w:iCs/>
        </w:rPr>
        <w:t xml:space="preserve">I. scapularis </w:t>
      </w:r>
      <w:r w:rsidRPr="006D55C9">
        <w:rPr>
          <w:rFonts w:ascii="Times New Roman" w:hAnsi="Times New Roman" w:cs="Times New Roman"/>
        </w:rPr>
        <w:t xml:space="preserve">density and reproductive success. </w:t>
      </w:r>
    </w:p>
    <w:p w14:paraId="327D2D61" w14:textId="1FDC0083" w:rsidR="008D0635" w:rsidRDefault="006D55C9" w:rsidP="006D55C9">
      <w:pPr>
        <w:spacing w:line="480" w:lineRule="auto"/>
        <w:ind w:firstLine="720"/>
        <w:rPr>
          <w:rFonts w:ascii="Times New Roman" w:hAnsi="Times New Roman" w:cs="Times New Roman"/>
        </w:rPr>
      </w:pPr>
      <w:r>
        <w:rPr>
          <w:rFonts w:ascii="Times New Roman" w:hAnsi="Times New Roman" w:cs="Times New Roman"/>
        </w:rPr>
        <w:t xml:space="preserve">2.) How the relationship between white-tailed deer </w:t>
      </w:r>
      <w:r w:rsidR="00502B8B" w:rsidRPr="006D55C9">
        <w:rPr>
          <w:rFonts w:ascii="Times New Roman" w:hAnsi="Times New Roman" w:cs="Times New Roman"/>
        </w:rPr>
        <w:t>functional connectivity</w:t>
      </w:r>
      <w:r>
        <w:rPr>
          <w:rFonts w:ascii="Times New Roman" w:hAnsi="Times New Roman" w:cs="Times New Roman"/>
        </w:rPr>
        <w:t xml:space="preserve"> and pathogen prevalence is modulated by land cover and spatial scale.</w:t>
      </w:r>
    </w:p>
    <w:p w14:paraId="26D9F591" w14:textId="2C360E4E" w:rsidR="008D0635" w:rsidRPr="008A6EC0" w:rsidRDefault="008A6EC0" w:rsidP="00DA2A29">
      <w:pPr>
        <w:spacing w:line="480" w:lineRule="auto"/>
        <w:rPr>
          <w:rFonts w:ascii="Times New Roman" w:hAnsi="Times New Roman" w:cs="Times New Roman"/>
        </w:rPr>
      </w:pPr>
      <w:r>
        <w:rPr>
          <w:rFonts w:ascii="Times New Roman" w:hAnsi="Times New Roman" w:cs="Times New Roman"/>
        </w:rPr>
        <w:tab/>
        <w:t xml:space="preserve">An improved understanding of these systems can help entomologists, tick-borne disease researchers, forest managers and landscape planners in preventing tick-borne disease and the proliferation of </w:t>
      </w:r>
      <w:r>
        <w:rPr>
          <w:rFonts w:ascii="Times New Roman" w:hAnsi="Times New Roman" w:cs="Times New Roman"/>
          <w:i/>
          <w:iCs/>
        </w:rPr>
        <w:t xml:space="preserve">I. scapularis </w:t>
      </w:r>
      <w:r>
        <w:rPr>
          <w:rFonts w:ascii="Times New Roman" w:hAnsi="Times New Roman" w:cs="Times New Roman"/>
        </w:rPr>
        <w:t>populations in the future.</w:t>
      </w:r>
    </w:p>
    <w:p w14:paraId="28A70E28" w14:textId="77777777" w:rsidR="009D1183" w:rsidRDefault="009D1183" w:rsidP="00DA2A29">
      <w:pPr>
        <w:spacing w:line="480" w:lineRule="auto"/>
        <w:rPr>
          <w:rFonts w:ascii="Times New Roman" w:hAnsi="Times New Roman" w:cs="Times New Roman"/>
        </w:rPr>
      </w:pPr>
    </w:p>
    <w:p w14:paraId="1EA11B7C" w14:textId="2504BC56" w:rsidR="009B3C06" w:rsidRDefault="009B3C06" w:rsidP="00DA2A29">
      <w:pPr>
        <w:spacing w:line="480" w:lineRule="auto"/>
        <w:rPr>
          <w:rFonts w:ascii="Times New Roman" w:hAnsi="Times New Roman" w:cs="Times New Roman"/>
          <w:b/>
          <w:bCs/>
        </w:rPr>
      </w:pPr>
      <w:r>
        <w:rPr>
          <w:rFonts w:ascii="Times New Roman" w:hAnsi="Times New Roman" w:cs="Times New Roman"/>
          <w:b/>
          <w:bCs/>
        </w:rPr>
        <w:t>M</w:t>
      </w:r>
      <w:r w:rsidR="006C642D">
        <w:rPr>
          <w:rFonts w:ascii="Times New Roman" w:hAnsi="Times New Roman" w:cs="Times New Roman"/>
          <w:b/>
          <w:bCs/>
        </w:rPr>
        <w:t>aterial and M</w:t>
      </w:r>
      <w:r>
        <w:rPr>
          <w:rFonts w:ascii="Times New Roman" w:hAnsi="Times New Roman" w:cs="Times New Roman"/>
          <w:b/>
          <w:bCs/>
        </w:rPr>
        <w:t xml:space="preserve">ethods: </w:t>
      </w:r>
    </w:p>
    <w:p w14:paraId="463BE1ED" w14:textId="117969E9" w:rsidR="009B3C06" w:rsidRDefault="006C642D" w:rsidP="00DA2A29">
      <w:pPr>
        <w:spacing w:line="480" w:lineRule="auto"/>
        <w:rPr>
          <w:rFonts w:ascii="Times New Roman" w:hAnsi="Times New Roman" w:cs="Times New Roman"/>
          <w:i/>
          <w:iCs/>
        </w:rPr>
      </w:pPr>
      <w:r>
        <w:rPr>
          <w:rFonts w:ascii="Times New Roman" w:hAnsi="Times New Roman" w:cs="Times New Roman"/>
          <w:i/>
          <w:iCs/>
        </w:rPr>
        <w:t>Tick sampling</w:t>
      </w:r>
    </w:p>
    <w:p w14:paraId="4D5907BF" w14:textId="20EC1A1E" w:rsidR="006C642D" w:rsidRPr="004B4B10" w:rsidRDefault="006C642D" w:rsidP="00DA2A29">
      <w:pPr>
        <w:spacing w:line="480" w:lineRule="auto"/>
        <w:rPr>
          <w:rFonts w:ascii="Times New Roman" w:hAnsi="Times New Roman" w:cs="Times New Roman"/>
        </w:rPr>
      </w:pPr>
      <w:r>
        <w:rPr>
          <w:rFonts w:ascii="Times New Roman" w:hAnsi="Times New Roman" w:cs="Times New Roman"/>
        </w:rPr>
        <w:tab/>
        <w:t xml:space="preserve">Host-seeking nymphal </w:t>
      </w:r>
      <w:r w:rsidR="00736AA9">
        <w:rPr>
          <w:rFonts w:ascii="Times New Roman" w:hAnsi="Times New Roman" w:cs="Times New Roman"/>
        </w:rPr>
        <w:t xml:space="preserve">and adult </w:t>
      </w:r>
      <w:r>
        <w:rPr>
          <w:rFonts w:ascii="Times New Roman" w:hAnsi="Times New Roman" w:cs="Times New Roman"/>
        </w:rPr>
        <w:t xml:space="preserve">ticks were sampled </w:t>
      </w:r>
      <w:r w:rsidR="00331E06">
        <w:rPr>
          <w:rFonts w:ascii="Times New Roman" w:hAnsi="Times New Roman" w:cs="Times New Roman"/>
        </w:rPr>
        <w:t xml:space="preserve">at 834 unique sites </w:t>
      </w:r>
      <w:r w:rsidR="00F12320">
        <w:rPr>
          <w:rFonts w:ascii="Times New Roman" w:hAnsi="Times New Roman" w:cs="Times New Roman"/>
        </w:rPr>
        <w:t xml:space="preserve">between 2007 and 2024 </w:t>
      </w:r>
      <w:r>
        <w:rPr>
          <w:rFonts w:ascii="Times New Roman" w:hAnsi="Times New Roman" w:cs="Times New Roman"/>
        </w:rPr>
        <w:t xml:space="preserve">using </w:t>
      </w:r>
      <w:r w:rsidR="00736AA9">
        <w:rPr>
          <w:rFonts w:ascii="Times New Roman" w:hAnsi="Times New Roman" w:cs="Times New Roman"/>
        </w:rPr>
        <w:t xml:space="preserve">standardized </w:t>
      </w:r>
      <w:r>
        <w:rPr>
          <w:rFonts w:ascii="Times New Roman" w:hAnsi="Times New Roman" w:cs="Times New Roman"/>
        </w:rPr>
        <w:t xml:space="preserve">flagging and dragging surveys as previously described </w:t>
      </w:r>
      <w:r>
        <w:rPr>
          <w:rFonts w:ascii="Times New Roman" w:hAnsi="Times New Roman" w:cs="Times New Roman"/>
        </w:rPr>
        <w:fldChar w:fldCharType="begin"/>
      </w:r>
      <w:r w:rsidR="00F12320">
        <w:rPr>
          <w:rFonts w:ascii="Times New Roman" w:hAnsi="Times New Roman" w:cs="Times New Roman"/>
        </w:rPr>
        <w:instrText xml:space="preserve"> ADDIN ZOTERO_ITEM CSL_CITATION {"citationID":"CqtNZk5g","properties":{"formattedCitation":"(Prusinski et al., 2014)","plainCitation":"(Prusinski et al., 2014)","noteIndex":0},"citationItems":[{"id":930,"uris":["http://zotero.org/users/6220652/items/G2PT4ZYX"],"itemData":{"id":930,"type":"article-journal","abstract":"ABSTRACT Blacklegged ticks, Ixodes scapularis Say, were collected from 27 sites in eight New York State counties from 2003 to 2006 to determine the prevalence and distribution of tick-borne pathogens in public-use areas over a 4-yr period. In total, 11,204 I. scapularis (3,300 nymphs and 7,904 adults) were individually analyzed using polymerase chain reaction to detect the presence of Borrelia burgdorferi (causative agent of Lyme disease), Anaplasma phagocytophilum (formerly Ehrlichia phagocytophila, causative agent of human granulocytic anaplasmosis), and Babesia microti (causative agent of human babesiosis). Overall prevalence of B. burgdorferi, A. phagocytophilum, and B. microti was 14.4, 6.5, and 2.7% in nymphs and 45.7, 12.3, and 2.5% in adult ticks, respectively. Rates varied geographically and temporally during the time period examined, and were related to measurements of tick density. Average rate ofpolymicrobial infection for nymphs and adults, respectively, was 1.5 and 8.5% overall, with 0.5 and 6.3% coinfection of B. burgdorferi and A. phagocytophilum, 1.0 and 1.5% B. burgdorferi and B. microti, and 0.05 and 0.6% A. phagocytophilum and B. microti. Thirty-three individual adult ticks from seven study sites in Westchester, Putnam, Dutchess, and Rockland counties tested positive for simultaneous infection with all three agents by multiplex polymerase chain reaction assay.","container-title":"Journal of Medical Entomology","DOI":"10.1603/me13101","ISSN":"0022-2585","issue":"1","journalAbbreviation":"J Med Entomol","language":"eng","note":"PMID: 24605473","page":"226-236","source":"PubMed","title":"Prevalence of &lt;i&gt;Borrelia burgdorferi&lt;/i&gt; (Spirochaetales: Spirochaetaceae), &lt;i&gt;Anaplasma phagocytophilum&lt;/i&gt; (Rickettsiales: Anaplasmataceae), and &lt;i&gt;Babesia microti&lt;/i&gt; (Piroplasmida: Babesiidae) in &lt;i&gt;Ixodes scapularis&lt;/i&gt; (Acari: Ixodidae) collected from recreational lands in the Hudson Valley Region, New York State","title-short":"Prevalence of Borrelia burgdorferi (Spirochaetales","volume":"51","author":[{"family":"Prusinski","given":"M. A."},{"family":"Kokas","given":"J. E."},{"family":"Hukey","given":"K. T."},{"family":"Kogut","given":"S. J."},{"family":"Lee","given":"J."},{"family":"Backenson","given":"P. B."}],"issued":{"date-parts":[["2014",1]]}}}],"schema":"https://github.com/citation-style-language/schema/raw/master/csl-citation.json"} </w:instrText>
      </w:r>
      <w:r>
        <w:rPr>
          <w:rFonts w:ascii="Times New Roman" w:hAnsi="Times New Roman" w:cs="Times New Roman"/>
        </w:rPr>
        <w:fldChar w:fldCharType="separate"/>
      </w:r>
      <w:r w:rsidR="00F12320">
        <w:rPr>
          <w:rFonts w:ascii="Times New Roman" w:hAnsi="Times New Roman" w:cs="Times New Roman"/>
          <w:noProof/>
        </w:rPr>
        <w:t>(Prusinski et al., 2014)</w:t>
      </w:r>
      <w:r>
        <w:rPr>
          <w:rFonts w:ascii="Times New Roman" w:hAnsi="Times New Roman" w:cs="Times New Roman"/>
        </w:rPr>
        <w:fldChar w:fldCharType="end"/>
      </w:r>
      <w:r w:rsidR="00F12320">
        <w:rPr>
          <w:rFonts w:ascii="Times New Roman" w:hAnsi="Times New Roman" w:cs="Times New Roman"/>
        </w:rPr>
        <w:t xml:space="preserve">. Briefly, </w:t>
      </w:r>
      <w:r w:rsidR="00736AA9">
        <w:rPr>
          <w:rFonts w:ascii="Times New Roman" w:hAnsi="Times New Roman" w:cs="Times New Roman"/>
        </w:rPr>
        <w:t xml:space="preserve">sampling sites were selected according to habitat suitability of nymphal and adult </w:t>
      </w:r>
      <w:r w:rsidR="00736AA9">
        <w:rPr>
          <w:rFonts w:ascii="Times New Roman" w:hAnsi="Times New Roman" w:cs="Times New Roman"/>
          <w:i/>
          <w:iCs/>
        </w:rPr>
        <w:t>I. scapularis</w:t>
      </w:r>
      <w:r w:rsidR="00682059">
        <w:rPr>
          <w:rFonts w:ascii="Times New Roman" w:hAnsi="Times New Roman" w:cs="Times New Roman"/>
        </w:rPr>
        <w:t xml:space="preserve">, </w:t>
      </w:r>
      <w:r w:rsidR="00AA111A">
        <w:rPr>
          <w:rFonts w:ascii="Times New Roman" w:hAnsi="Times New Roman" w:cs="Times New Roman"/>
        </w:rPr>
        <w:t>specifically,</w:t>
      </w:r>
      <w:r w:rsidR="00682059">
        <w:rPr>
          <w:rFonts w:ascii="Times New Roman" w:hAnsi="Times New Roman" w:cs="Times New Roman"/>
        </w:rPr>
        <w:t xml:space="preserve"> </w:t>
      </w:r>
      <w:r w:rsidR="00AA111A">
        <w:rPr>
          <w:rFonts w:ascii="Times New Roman" w:hAnsi="Times New Roman" w:cs="Times New Roman"/>
        </w:rPr>
        <w:t>n</w:t>
      </w:r>
      <w:r w:rsidR="00682059">
        <w:rPr>
          <w:rFonts w:ascii="Times New Roman" w:hAnsi="Times New Roman" w:cs="Times New Roman"/>
        </w:rPr>
        <w:t>orthern hardwood forests</w:t>
      </w:r>
      <w:r w:rsidR="00AA111A">
        <w:rPr>
          <w:rFonts w:ascii="Times New Roman" w:hAnsi="Times New Roman" w:cs="Times New Roman"/>
        </w:rPr>
        <w:t xml:space="preserve"> with accessible trails and forest edge</w:t>
      </w:r>
      <w:r w:rsidR="00736AA9">
        <w:rPr>
          <w:rFonts w:ascii="Times New Roman" w:hAnsi="Times New Roman" w:cs="Times New Roman"/>
        </w:rPr>
        <w:t xml:space="preserve">. Nymphal </w:t>
      </w:r>
      <w:r w:rsidR="00736AA9">
        <w:rPr>
          <w:rFonts w:ascii="Times New Roman" w:hAnsi="Times New Roman" w:cs="Times New Roman"/>
          <w:i/>
          <w:iCs/>
        </w:rPr>
        <w:t xml:space="preserve">I. scapularis </w:t>
      </w:r>
      <w:r w:rsidR="00736AA9">
        <w:rPr>
          <w:rFonts w:ascii="Times New Roman" w:hAnsi="Times New Roman" w:cs="Times New Roman"/>
        </w:rPr>
        <w:t xml:space="preserve">were targeted at sites via dragging surveys on trails with leaf-litter during summer months (May – September) while adult </w:t>
      </w:r>
      <w:r w:rsidR="00736AA9">
        <w:rPr>
          <w:rFonts w:ascii="Times New Roman" w:hAnsi="Times New Roman" w:cs="Times New Roman"/>
          <w:i/>
          <w:iCs/>
        </w:rPr>
        <w:t xml:space="preserve">I. scapularis </w:t>
      </w:r>
      <w:r w:rsidR="00736AA9">
        <w:rPr>
          <w:rFonts w:ascii="Times New Roman" w:hAnsi="Times New Roman" w:cs="Times New Roman"/>
        </w:rPr>
        <w:t xml:space="preserve">were targeted at sites via flagging surveys on low-lying vegetation during spring (April – May) and fall months (October – December). The GPS coordinates of each sampling site were recorded at initial visit and were </w:t>
      </w:r>
      <w:r w:rsidR="00736AA9">
        <w:rPr>
          <w:rFonts w:ascii="Times New Roman" w:hAnsi="Times New Roman" w:cs="Times New Roman"/>
        </w:rPr>
        <w:lastRenderedPageBreak/>
        <w:t>used for all data analysis. Field-collected ticks</w:t>
      </w:r>
      <w:r w:rsidR="00065A40">
        <w:rPr>
          <w:rFonts w:ascii="Times New Roman" w:hAnsi="Times New Roman" w:cs="Times New Roman"/>
        </w:rPr>
        <w:t xml:space="preserve">, including targeted </w:t>
      </w:r>
      <w:r w:rsidR="00065A40">
        <w:rPr>
          <w:rFonts w:ascii="Times New Roman" w:hAnsi="Times New Roman" w:cs="Times New Roman"/>
          <w:i/>
          <w:iCs/>
        </w:rPr>
        <w:t xml:space="preserve">I. scapularis </w:t>
      </w:r>
      <w:r w:rsidR="00065A40">
        <w:rPr>
          <w:rFonts w:ascii="Times New Roman" w:hAnsi="Times New Roman" w:cs="Times New Roman"/>
        </w:rPr>
        <w:t xml:space="preserve">and any bycatch tick species, were immediately placed in 99.5% ethanol. Ethanol tubes containing field-collected ticks were stored on cold packs in an insulated cooler until </w:t>
      </w:r>
      <w:r w:rsidR="00AA111A">
        <w:rPr>
          <w:rFonts w:ascii="Times New Roman" w:hAnsi="Times New Roman" w:cs="Times New Roman"/>
        </w:rPr>
        <w:t xml:space="preserve">being </w:t>
      </w:r>
      <w:r w:rsidR="00065A40">
        <w:rPr>
          <w:rFonts w:ascii="Times New Roman" w:hAnsi="Times New Roman" w:cs="Times New Roman"/>
        </w:rPr>
        <w:t xml:space="preserve">transferred to a refrigerator at 4°C. Field-collected ticks were then identified to species and developmental-stage by dichotomous key under a dissecting microscope (Model SMZ1000, Nikon, Tokyo, Japan) </w:t>
      </w:r>
      <w:r w:rsidR="00065A40">
        <w:rPr>
          <w:rFonts w:ascii="Times New Roman" w:hAnsi="Times New Roman" w:cs="Times New Roman"/>
        </w:rPr>
        <w:fldChar w:fldCharType="begin"/>
      </w:r>
      <w:r w:rsidR="00065A40">
        <w:rPr>
          <w:rFonts w:ascii="Times New Roman" w:hAnsi="Times New Roman" w:cs="Times New Roman"/>
        </w:rPr>
        <w:instrText xml:space="preserve"> ADDIN ZOTERO_ITEM CSL_CITATION {"citationID":"5LOFGvNp","properties":{"formattedCitation":"(Keirans et al., 1996; Keirans and Clifford, 1978)","plainCitation":"(Keirans et al., 1996; Keirans and Clifford, 1978)","noteIndex":0},"citationItems":[{"id":864,"uris":["http://zotero.org/users/6220652/items/QHAW3DQS"],"itemData":{"id":864,"type":"article-journal","abstract":"The blacklegged tick, Ixodes (Ixodes) scapularis Say, 1821, is redescribed, based on laboratory reared specimens originating in Bulloch County, Georgia. Information on distribution, host associations, morphological variation, and medical/veterinary importance is also presented. A great deal of recent work has focused on this species because it is the principal vector of the agent of Lyme disease (Borrelia burgdorferi Johnson, Schmidt, Hyde, Steigerwaldt &amp; Brenner) in eastern North America. Its distribution appears to be expanding, and includes the state of Florida in the southeastern United States north to the provinces of Nova Scotia and Prince Edward Island, Canada, west to North and South Dakota, United States, and south to the state of Coahuila, Mexico. Although I. scapularis feeds on at least 125 species of North American vertebrates (54 mammalian, 57 avian, and 14 lizard species), analysis of the U.S. National Tick Collection holdings show that white-tailed deer, Odocoileus virginianus (Zimmermann), cattle, Bos taurus L., dogs, Canis lupus L., and other medium-to-large sized mammals are important hosts for adults as are native mice and other small mammals, certain ground-frequenting birds, skinks, and glass lizards for nymphs and larvae. This tick is a polytypic species exhibiting north-south and east-west morphological clines. Analysis of variance and Student-Newman-Keuls multiple comparisons revealed significant interpopulational variation that is expressed most significantly in the nymphal stage. Nymphs from northern (Minnesota, Massachusetts, Maryland) populations had relatively larger basis capituli with shorter cornua (except Maryland) than southern (North Carolina, Georgia) populations. Midwestern populations (Minnesota, Missouri) differed from eastern populations (Massachusetts, Maryland, North Carolina, Georgia) in idiosomal characters (broader scuta, larger coxae III, and IV). In addition to Lyme disease, this tick is also a primary vector of the agent of human and rodent babesiosis, Babesia microti Franca. Under laboratory conditions it has transmitted the agents of deer babesiosis, Babesia odocoilei Emerson &amp; Wright, tularemia, Francisella tularensis McCoy &amp; Chapin, and anaplasmosis, Anaplasma marginale Theiler. Moreover, I. scapularis can reach pest proportions on livestock, and females can cause tick paralysis in dogs.","container-title":"Journal of Medical Entomology","DOI":"10.1093/jmedent/33.3.297","ISSN":"0022-2585","issue":"3","journalAbbreviation":"J Med Entomol","language":"eng","note":"PMID: 8667375","page":"297-318","source":"PubMed","title":"&lt;i&gt;Ixodes (Ixodes) scapularis&lt;/i&gt; (Acari:Ixodidae): redescription of all active stages, distribution, hosts, geographical variation, and medical and veterinary importance","title-short":"Ixodes (Ixodes) scapularis (Acari","volume":"33","author":[{"family":"Keirans","given":"J. E."},{"family":"Hutcheson","given":"H. J."},{"family":"Durden","given":"L. A."},{"family":"Klompen","given":"J. S."}],"issued":{"date-parts":[["1996",5]]}}},{"id":234,"uris":["http://zotero.org/users/6220652/items/69MQX7TX"],"itemData":{"id":234,"type":"article-journal","container-title":"Journal of Medical Entomology","journalAbbreviation":"J Med Entomol","page":"1-149","title":"The genus &lt;i&gt; Ixodes &lt;/i&gt;in the United States: a scanning electron microscope study and key to the adults.","volume":"2","author":[{"family":"Keirans","given":"J.E."},{"family":"Clifford","given":"C.M."}],"issued":{"date-parts":[["1978"]]}}}],"schema":"https://github.com/citation-style-language/schema/raw/master/csl-citation.json"} </w:instrText>
      </w:r>
      <w:r w:rsidR="00065A40">
        <w:rPr>
          <w:rFonts w:ascii="Times New Roman" w:hAnsi="Times New Roman" w:cs="Times New Roman"/>
        </w:rPr>
        <w:fldChar w:fldCharType="separate"/>
      </w:r>
      <w:r w:rsidR="00065A40">
        <w:rPr>
          <w:rFonts w:ascii="Times New Roman" w:hAnsi="Times New Roman" w:cs="Times New Roman"/>
          <w:noProof/>
        </w:rPr>
        <w:t>(Keirans et al., 1996; Keirans and Clifford, 1978)</w:t>
      </w:r>
      <w:r w:rsidR="00065A40">
        <w:rPr>
          <w:rFonts w:ascii="Times New Roman" w:hAnsi="Times New Roman" w:cs="Times New Roman"/>
        </w:rPr>
        <w:fldChar w:fldCharType="end"/>
      </w:r>
      <w:r w:rsidR="00065A40">
        <w:rPr>
          <w:rFonts w:ascii="Times New Roman" w:hAnsi="Times New Roman" w:cs="Times New Roman"/>
        </w:rPr>
        <w:t xml:space="preserve">. </w:t>
      </w:r>
      <w:r w:rsidR="004B4B10">
        <w:rPr>
          <w:rFonts w:ascii="Times New Roman" w:hAnsi="Times New Roman" w:cs="Times New Roman"/>
        </w:rPr>
        <w:t xml:space="preserve">Nymphal and adult </w:t>
      </w:r>
      <w:r w:rsidR="004B4B10">
        <w:rPr>
          <w:rFonts w:ascii="Times New Roman" w:hAnsi="Times New Roman" w:cs="Times New Roman"/>
          <w:i/>
          <w:iCs/>
        </w:rPr>
        <w:t xml:space="preserve">I. scapularis </w:t>
      </w:r>
      <w:r w:rsidR="004B4B10">
        <w:rPr>
          <w:rFonts w:ascii="Times New Roman" w:hAnsi="Times New Roman" w:cs="Times New Roman"/>
        </w:rPr>
        <w:t>were then stored in 1.5 ml Eppendorf tubes containing 99.5% ethanol and stored at -20°C until DNA extraction.</w:t>
      </w:r>
    </w:p>
    <w:p w14:paraId="172CAFDB" w14:textId="77777777" w:rsidR="004B4B10" w:rsidRDefault="004B4B10" w:rsidP="00DA2A29">
      <w:pPr>
        <w:spacing w:line="480" w:lineRule="auto"/>
        <w:rPr>
          <w:rFonts w:ascii="Times New Roman" w:hAnsi="Times New Roman" w:cs="Times New Roman"/>
          <w:i/>
          <w:iCs/>
        </w:rPr>
      </w:pPr>
    </w:p>
    <w:p w14:paraId="6752D8B2" w14:textId="55EA420B" w:rsidR="00AA111A" w:rsidRDefault="00AA111A" w:rsidP="00DA2A29">
      <w:pPr>
        <w:spacing w:line="480" w:lineRule="auto"/>
        <w:rPr>
          <w:rFonts w:ascii="Times New Roman" w:hAnsi="Times New Roman" w:cs="Times New Roman"/>
          <w:i/>
          <w:iCs/>
        </w:rPr>
      </w:pPr>
      <w:r>
        <w:rPr>
          <w:rFonts w:ascii="Times New Roman" w:hAnsi="Times New Roman" w:cs="Times New Roman"/>
          <w:i/>
          <w:iCs/>
        </w:rPr>
        <w:t xml:space="preserve">Pathogen </w:t>
      </w:r>
      <w:r w:rsidR="00331E06">
        <w:rPr>
          <w:rFonts w:ascii="Times New Roman" w:hAnsi="Times New Roman" w:cs="Times New Roman"/>
          <w:i/>
          <w:iCs/>
        </w:rPr>
        <w:t>t</w:t>
      </w:r>
      <w:r>
        <w:rPr>
          <w:rFonts w:ascii="Times New Roman" w:hAnsi="Times New Roman" w:cs="Times New Roman"/>
          <w:i/>
          <w:iCs/>
        </w:rPr>
        <w:t>esting</w:t>
      </w:r>
    </w:p>
    <w:p w14:paraId="56A60D15" w14:textId="22F75A4F" w:rsidR="002A703C" w:rsidRPr="002A703C" w:rsidRDefault="002A703C" w:rsidP="002A703C">
      <w:pPr>
        <w:spacing w:line="480" w:lineRule="auto"/>
        <w:ind w:left="720"/>
        <w:rPr>
          <w:rFonts w:ascii="Times New Roman" w:hAnsi="Times New Roman" w:cs="Times New Roman"/>
        </w:rPr>
      </w:pPr>
      <w:r>
        <w:rPr>
          <w:rFonts w:ascii="Times New Roman" w:hAnsi="Times New Roman" w:cs="Times New Roman"/>
        </w:rPr>
        <w:t xml:space="preserve">A maximum of 50 individual nymphal and adult </w:t>
      </w:r>
      <w:r>
        <w:rPr>
          <w:rFonts w:ascii="Times New Roman" w:hAnsi="Times New Roman" w:cs="Times New Roman"/>
          <w:i/>
          <w:iCs/>
        </w:rPr>
        <w:t xml:space="preserve">I. scapularis </w:t>
      </w:r>
      <w:r>
        <w:rPr>
          <w:rFonts w:ascii="Times New Roman" w:hAnsi="Times New Roman" w:cs="Times New Roman"/>
        </w:rPr>
        <w:t xml:space="preserve">per sampling site </w:t>
      </w:r>
    </w:p>
    <w:p w14:paraId="7A1B72D8" w14:textId="75BB24E5" w:rsidR="004B4B10" w:rsidRDefault="004B4B10" w:rsidP="00DA2A29">
      <w:pPr>
        <w:spacing w:line="480" w:lineRule="auto"/>
        <w:rPr>
          <w:rFonts w:ascii="Times New Roman" w:hAnsi="Times New Roman" w:cs="Times New Roman"/>
        </w:rPr>
      </w:pPr>
      <w:r>
        <w:rPr>
          <w:rFonts w:ascii="Times New Roman" w:hAnsi="Times New Roman" w:cs="Times New Roman"/>
        </w:rPr>
        <w:t xml:space="preserve">automated total genomic DNA extraction via Qiagen </w:t>
      </w:r>
      <w:proofErr w:type="spellStart"/>
      <w:r>
        <w:rPr>
          <w:rFonts w:ascii="Times New Roman" w:hAnsi="Times New Roman" w:cs="Times New Roman"/>
        </w:rPr>
        <w:t>QIAcube</w:t>
      </w:r>
      <w:proofErr w:type="spellEnd"/>
      <w:r>
        <w:rPr>
          <w:rFonts w:ascii="Times New Roman" w:hAnsi="Times New Roman" w:cs="Times New Roman"/>
        </w:rPr>
        <w:t xml:space="preserve"> HT using the </w:t>
      </w:r>
      <w:proofErr w:type="spellStart"/>
      <w:r>
        <w:rPr>
          <w:rFonts w:ascii="Times New Roman" w:hAnsi="Times New Roman" w:cs="Times New Roman"/>
        </w:rPr>
        <w:t>QIAamp</w:t>
      </w:r>
      <w:proofErr w:type="spellEnd"/>
      <w:r>
        <w:rPr>
          <w:rFonts w:ascii="Times New Roman" w:hAnsi="Times New Roman" w:cs="Times New Roman"/>
        </w:rPr>
        <w:t xml:space="preserve"> 96 kit (Qiagen USA, Germantown, MD) according to manufacturer protocols. Extracted DNA was tested for the presence of (target </w:t>
      </w:r>
      <w:proofErr w:type="spellStart"/>
      <w:r>
        <w:rPr>
          <w:rFonts w:ascii="Times New Roman" w:hAnsi="Times New Roman" w:cs="Times New Roman"/>
        </w:rPr>
        <w:t>genee</w:t>
      </w:r>
      <w:proofErr w:type="spellEnd"/>
      <w:r>
        <w:rPr>
          <w:rFonts w:ascii="Times New Roman" w:hAnsi="Times New Roman" w:cs="Times New Roman"/>
        </w:rPr>
        <w:t xml:space="preserve">) </w:t>
      </w:r>
      <w:r>
        <w:rPr>
          <w:rFonts w:ascii="Times New Roman" w:hAnsi="Times New Roman" w:cs="Times New Roman"/>
          <w:i/>
          <w:iCs/>
        </w:rPr>
        <w:t xml:space="preserve">A. phagocytophilum </w:t>
      </w:r>
      <w:r>
        <w:rPr>
          <w:rFonts w:ascii="Times New Roman" w:hAnsi="Times New Roman" w:cs="Times New Roman"/>
        </w:rPr>
        <w:t>(</w:t>
      </w:r>
      <w:r>
        <w:rPr>
          <w:rFonts w:ascii="Times New Roman" w:hAnsi="Times New Roman" w:cs="Times New Roman"/>
          <w:i/>
          <w:iCs/>
        </w:rPr>
        <w:t>msp2</w:t>
      </w:r>
      <w:r>
        <w:rPr>
          <w:rFonts w:ascii="Times New Roman" w:hAnsi="Times New Roman" w:cs="Times New Roman"/>
        </w:rPr>
        <w:t xml:space="preserve">), </w:t>
      </w:r>
      <w:r>
        <w:rPr>
          <w:rFonts w:ascii="Times New Roman" w:hAnsi="Times New Roman" w:cs="Times New Roman"/>
          <w:i/>
          <w:iCs/>
        </w:rPr>
        <w:t xml:space="preserve">Babesia microti </w:t>
      </w:r>
      <w:r>
        <w:rPr>
          <w:rFonts w:ascii="Times New Roman" w:hAnsi="Times New Roman" w:cs="Times New Roman"/>
        </w:rPr>
        <w:t>(</w:t>
      </w:r>
      <w:proofErr w:type="spellStart"/>
      <w:r>
        <w:rPr>
          <w:rFonts w:ascii="Times New Roman" w:hAnsi="Times New Roman" w:cs="Times New Roman"/>
        </w:rPr>
        <w:t>Prioplasmida</w:t>
      </w:r>
      <w:proofErr w:type="spellEnd"/>
      <w:r>
        <w:rPr>
          <w:rFonts w:ascii="Times New Roman" w:hAnsi="Times New Roman" w:cs="Times New Roman"/>
        </w:rPr>
        <w:t>: Babesiidae) (</w:t>
      </w:r>
      <w:r>
        <w:rPr>
          <w:rFonts w:ascii="Times New Roman" w:hAnsi="Times New Roman" w:cs="Times New Roman"/>
          <w:i/>
          <w:iCs/>
        </w:rPr>
        <w:t>18s rDNA</w:t>
      </w:r>
      <w:r>
        <w:rPr>
          <w:rFonts w:ascii="Times New Roman" w:hAnsi="Times New Roman" w:cs="Times New Roman"/>
        </w:rPr>
        <w:t>)</w:t>
      </w:r>
      <w:r w:rsidR="002A703C">
        <w:rPr>
          <w:rFonts w:ascii="Times New Roman" w:hAnsi="Times New Roman" w:cs="Times New Roman"/>
        </w:rPr>
        <w:t xml:space="preserve">, </w:t>
      </w:r>
      <w:r w:rsidR="002A703C">
        <w:rPr>
          <w:rFonts w:ascii="Times New Roman" w:hAnsi="Times New Roman" w:cs="Times New Roman"/>
          <w:i/>
          <w:iCs/>
        </w:rPr>
        <w:t xml:space="preserve">B. burgdorferi </w:t>
      </w:r>
      <w:r w:rsidR="002A703C">
        <w:rPr>
          <w:rFonts w:ascii="Times New Roman" w:hAnsi="Times New Roman" w:cs="Times New Roman"/>
        </w:rPr>
        <w:t>(</w:t>
      </w:r>
      <w:r w:rsidR="002A703C">
        <w:rPr>
          <w:rFonts w:ascii="Times New Roman" w:hAnsi="Times New Roman" w:cs="Times New Roman"/>
          <w:i/>
          <w:iCs/>
        </w:rPr>
        <w:t>16S rDNA</w:t>
      </w:r>
      <w:r w:rsidR="002A703C">
        <w:rPr>
          <w:rFonts w:ascii="Times New Roman" w:hAnsi="Times New Roman" w:cs="Times New Roman"/>
        </w:rPr>
        <w:t xml:space="preserve">), and </w:t>
      </w:r>
      <w:r w:rsidR="002A703C">
        <w:rPr>
          <w:rFonts w:ascii="Times New Roman" w:hAnsi="Times New Roman" w:cs="Times New Roman"/>
          <w:i/>
          <w:iCs/>
        </w:rPr>
        <w:t xml:space="preserve">B. miyamotoi </w:t>
      </w:r>
      <w:r w:rsidR="002A703C">
        <w:rPr>
          <w:rFonts w:ascii="Times New Roman" w:hAnsi="Times New Roman" w:cs="Times New Roman"/>
        </w:rPr>
        <w:t>(Spirochaetales: Spirochaetaceae) (</w:t>
      </w:r>
      <w:r w:rsidR="002A703C">
        <w:rPr>
          <w:rFonts w:ascii="Times New Roman" w:hAnsi="Times New Roman" w:cs="Times New Roman"/>
          <w:i/>
          <w:iCs/>
        </w:rPr>
        <w:t>16s rDNA)</w:t>
      </w:r>
      <w:r w:rsidR="002A703C">
        <w:rPr>
          <w:rFonts w:ascii="Times New Roman" w:hAnsi="Times New Roman" w:cs="Times New Roman"/>
        </w:rPr>
        <w:t xml:space="preserve"> using a quadplex real-time PCR assay as previously described </w:t>
      </w:r>
      <w:r w:rsidR="002A703C">
        <w:rPr>
          <w:rFonts w:ascii="Times New Roman" w:hAnsi="Times New Roman" w:cs="Times New Roman"/>
        </w:rPr>
        <w:fldChar w:fldCharType="begin"/>
      </w:r>
      <w:r w:rsidR="002A703C">
        <w:rPr>
          <w:rFonts w:ascii="Times New Roman" w:hAnsi="Times New Roman" w:cs="Times New Roman"/>
        </w:rPr>
        <w:instrText xml:space="preserve"> ADDIN ZOTERO_ITEM CSL_CITATION {"citationID":"kHlopIRV","properties":{"formattedCitation":"(Piedmonte et al., 2018)","plainCitation":"(Piedmonte et al., 2018)","noteIndex":0},"citationItems":[{"id":921,"uris":["http://zotero.org/users/6220652/items/XD4GRIH8"],"itemData":{"id":921,"type":"article-journal","container-title":"Journal of Medical Entomology","DOI":"10.1093/jme/tjy111","ISSN":"0022-2585, 1938-2928","issue":"6","journalAbbreviation":"J Med Entomol","language":"en","page":"1496-1508","source":"DOI.org (Crossref)","title":"Landscape Features Associated With Blacklegged Tick (Acari: Ixodidae) Density and Tick-Borne Pathogen Prevalence at Multiple Spatial Scales in Central New York State","title-short":"Landscape Features Associated With Blacklegged Tick (Acari","URL":"https://academic.oup.com/jme/article/55/6/1496/5055416","volume":"55","author":[{"family":"Piedmonte","given":"Nicholas P"},{"family":"Shaw","given":"Stephen B"},{"family":"Prusinski","given":"Melissa A"},{"family":"Fierke","given":"Melissa K"}],"accessed":{"date-parts":[["2021",2,4]]},"issued":{"date-parts":[["2018",10,25]]}}}],"schema":"https://github.com/citation-style-language/schema/raw/master/csl-citation.json"} </w:instrText>
      </w:r>
      <w:r w:rsidR="002A703C">
        <w:rPr>
          <w:rFonts w:ascii="Times New Roman" w:hAnsi="Times New Roman" w:cs="Times New Roman"/>
        </w:rPr>
        <w:fldChar w:fldCharType="separate"/>
      </w:r>
      <w:r w:rsidR="002A703C">
        <w:rPr>
          <w:rFonts w:ascii="Times New Roman" w:hAnsi="Times New Roman" w:cs="Times New Roman"/>
          <w:noProof/>
        </w:rPr>
        <w:t>(Piedmonte et al., 2018)</w:t>
      </w:r>
      <w:r w:rsidR="002A703C">
        <w:rPr>
          <w:rFonts w:ascii="Times New Roman" w:hAnsi="Times New Roman" w:cs="Times New Roman"/>
        </w:rPr>
        <w:fldChar w:fldCharType="end"/>
      </w:r>
      <w:r w:rsidR="002A703C">
        <w:rPr>
          <w:rFonts w:ascii="Times New Roman" w:hAnsi="Times New Roman" w:cs="Times New Roman"/>
        </w:rPr>
        <w:t xml:space="preserve">. All samples testing positive for </w:t>
      </w:r>
      <w:r w:rsidR="002A703C">
        <w:rPr>
          <w:rFonts w:ascii="Times New Roman" w:hAnsi="Times New Roman" w:cs="Times New Roman"/>
          <w:i/>
          <w:iCs/>
        </w:rPr>
        <w:t xml:space="preserve">A. phagocytophilum </w:t>
      </w:r>
      <w:r w:rsidR="002A703C">
        <w:rPr>
          <w:rFonts w:ascii="Times New Roman" w:hAnsi="Times New Roman" w:cs="Times New Roman"/>
        </w:rPr>
        <w:t xml:space="preserve">were then tested using a custom </w:t>
      </w:r>
      <w:proofErr w:type="spellStart"/>
      <w:r w:rsidR="002A703C">
        <w:rPr>
          <w:rFonts w:ascii="Times New Roman" w:hAnsi="Times New Roman" w:cs="Times New Roman"/>
        </w:rPr>
        <w:t>Taqman</w:t>
      </w:r>
      <w:proofErr w:type="spellEnd"/>
      <w:r w:rsidR="002A703C">
        <w:rPr>
          <w:rFonts w:ascii="Times New Roman" w:hAnsi="Times New Roman" w:cs="Times New Roman"/>
        </w:rPr>
        <w:t xml:space="preserve">® SNP genotyping PCR assay to differentiate between the Ap-ha and Ap-V1 variants of </w:t>
      </w:r>
      <w:r w:rsidR="002A703C">
        <w:rPr>
          <w:rFonts w:ascii="Times New Roman" w:hAnsi="Times New Roman" w:cs="Times New Roman"/>
          <w:i/>
          <w:iCs/>
        </w:rPr>
        <w:t xml:space="preserve">A. phagocytophilum </w:t>
      </w:r>
      <w:r w:rsidR="002A703C">
        <w:rPr>
          <w:rFonts w:ascii="Times New Roman" w:hAnsi="Times New Roman" w:cs="Times New Roman"/>
        </w:rPr>
        <w:t xml:space="preserve">as described by </w:t>
      </w:r>
      <w:r w:rsidR="002A703C">
        <w:rPr>
          <w:rFonts w:ascii="Times New Roman" w:hAnsi="Times New Roman" w:cs="Times New Roman"/>
        </w:rPr>
        <w:fldChar w:fldCharType="begin"/>
      </w:r>
      <w:r w:rsidR="002A703C">
        <w:rPr>
          <w:rFonts w:ascii="Times New Roman" w:hAnsi="Times New Roman" w:cs="Times New Roman"/>
        </w:rPr>
        <w:instrText xml:space="preserve"> ADDIN ZOTERO_ITEM CSL_CITATION {"citationID":"bNWffcix","properties":{"formattedCitation":"(Prusinski et al., 2023)","plainCitation":"(Prusinski et al., 2023)","noteIndex":0},"citationItems":[{"id":2332,"uris":["http://zotero.org/users/6220652/items/7I9L73YH"],"itemData":{"id":2332,"type":"article-journal","container-title":"Emerging Infectious Diseases","DOI":"10.3201/eid2903.220320","ISSN":"1080-6040, 1080-6059","issue":"3","journalAbbreviation":"Emerg. Infect. Dis.","license":"All rights reserved","source":"DOI.org (Crossref)","title":"Associations of &lt;i&gt;Anaplasma phagocytophilum&lt;/i&gt; Bacteria Variants in &lt;i&gt;Ixodes scapularis&lt;/i&gt; Ticks and Humans, New York, USA","URL":"https://wwwnc.cdc.gov/eid/article/29/3/22-0320_article","volume":"29","author":[{"family":"Prusinski","given":"Melissa"},{"family":"O’Connor","given":"Collin"},{"family":"Russell","given":"Alexis"},{"family":"Sommer","given":"Jamie"},{"family":"White","given":"Jennifer"},{"family":"Rose","given":"Lauren"},{"family":"Falco","given":"Richard"},{"family":"Kokas","given":"John"},{"family":"Vinci","given":"Vanessa"},{"family":"Gall","given":"Wayne"},{"family":"Tober","given":"Keith"},{"family":"Haight","given":"Jamie"},{"family":"Oliver","given":"JoAnne"},{"family":"Meehan","given":"Lisa"},{"family":"Sporn","given":"Lee Ann"},{"family":"Brisson","given":"Dustin"},{"family":"Backenson","given":"P. Bryon"}],"accessed":{"date-parts":[["2023",3,13]]},"issued":{"date-parts":[["2023",3]]}}}],"schema":"https://github.com/citation-style-language/schema/raw/master/csl-citation.json"} </w:instrText>
      </w:r>
      <w:r w:rsidR="002A703C">
        <w:rPr>
          <w:rFonts w:ascii="Times New Roman" w:hAnsi="Times New Roman" w:cs="Times New Roman"/>
        </w:rPr>
        <w:fldChar w:fldCharType="separate"/>
      </w:r>
      <w:r w:rsidR="002958FE">
        <w:rPr>
          <w:rFonts w:ascii="Times New Roman" w:hAnsi="Times New Roman" w:cs="Times New Roman"/>
          <w:noProof/>
        </w:rPr>
        <w:t>(Prusinski et al., 2023)</w:t>
      </w:r>
      <w:r w:rsidR="002A703C">
        <w:rPr>
          <w:rFonts w:ascii="Times New Roman" w:hAnsi="Times New Roman" w:cs="Times New Roman"/>
        </w:rPr>
        <w:fldChar w:fldCharType="end"/>
      </w:r>
      <w:r w:rsidR="002A703C">
        <w:rPr>
          <w:rFonts w:ascii="Times New Roman" w:hAnsi="Times New Roman" w:cs="Times New Roman"/>
        </w:rPr>
        <w:t>.</w:t>
      </w:r>
    </w:p>
    <w:p w14:paraId="64EAE094" w14:textId="77777777" w:rsidR="00E31A21" w:rsidRDefault="00E31A21" w:rsidP="00DA2A29">
      <w:pPr>
        <w:spacing w:line="480" w:lineRule="auto"/>
        <w:rPr>
          <w:rFonts w:ascii="Times New Roman" w:hAnsi="Times New Roman" w:cs="Times New Roman"/>
        </w:rPr>
      </w:pPr>
    </w:p>
    <w:p w14:paraId="4C5B9C45" w14:textId="68A0F867" w:rsidR="00E31A21" w:rsidRDefault="00E31A21" w:rsidP="00DA2A29">
      <w:pPr>
        <w:spacing w:line="480" w:lineRule="auto"/>
        <w:rPr>
          <w:rFonts w:ascii="Times New Roman" w:hAnsi="Times New Roman" w:cs="Times New Roman"/>
        </w:rPr>
      </w:pPr>
      <w:r>
        <w:rPr>
          <w:rFonts w:ascii="Times New Roman" w:hAnsi="Times New Roman" w:cs="Times New Roman"/>
          <w:i/>
          <w:iCs/>
        </w:rPr>
        <w:t>Data cleaning and visualization</w:t>
      </w:r>
    </w:p>
    <w:p w14:paraId="62AEEA42" w14:textId="504D9911" w:rsidR="00E31A21" w:rsidRPr="00493040" w:rsidRDefault="00E31A21" w:rsidP="00DA2A29">
      <w:pPr>
        <w:spacing w:line="480" w:lineRule="auto"/>
        <w:rPr>
          <w:rFonts w:ascii="Times New Roman" w:hAnsi="Times New Roman" w:cs="Times New Roman"/>
        </w:rPr>
      </w:pPr>
      <w:r>
        <w:rPr>
          <w:rFonts w:ascii="Times New Roman" w:hAnsi="Times New Roman" w:cs="Times New Roman"/>
        </w:rPr>
        <w:lastRenderedPageBreak/>
        <w:tab/>
        <w:t>Results of</w:t>
      </w:r>
      <w:r w:rsidR="00493040">
        <w:rPr>
          <w:rFonts w:ascii="Times New Roman" w:hAnsi="Times New Roman" w:cs="Times New Roman"/>
        </w:rPr>
        <w:t xml:space="preserve"> tick sampling and</w:t>
      </w:r>
      <w:r>
        <w:rPr>
          <w:rFonts w:ascii="Times New Roman" w:hAnsi="Times New Roman" w:cs="Times New Roman"/>
        </w:rPr>
        <w:t xml:space="preserve"> pathogen testing were summarized </w:t>
      </w:r>
      <w:r w:rsidR="00493040">
        <w:rPr>
          <w:rFonts w:ascii="Times New Roman" w:hAnsi="Times New Roman" w:cs="Times New Roman"/>
        </w:rPr>
        <w:t xml:space="preserve">for each year, developmental stage, and collection site for both Ap-ha and Ap-v1 </w:t>
      </w:r>
      <w:r w:rsidR="00493040">
        <w:rPr>
          <w:rFonts w:ascii="Times New Roman" w:hAnsi="Times New Roman" w:cs="Times New Roman"/>
          <w:i/>
          <w:iCs/>
        </w:rPr>
        <w:t xml:space="preserve">A. phagocytophilum </w:t>
      </w:r>
      <w:r w:rsidR="00493040">
        <w:rPr>
          <w:rFonts w:ascii="Times New Roman" w:hAnsi="Times New Roman" w:cs="Times New Roman"/>
        </w:rPr>
        <w:t xml:space="preserve">using R </w:t>
      </w:r>
      <w:r w:rsidR="00493040">
        <w:rPr>
          <w:rFonts w:ascii="Times New Roman" w:eastAsiaTheme="minorEastAsia" w:hAnsi="Times New Roman" w:cs="Times New Roman"/>
        </w:rPr>
        <w:t xml:space="preserve">version 4.2.1 </w:t>
      </w:r>
      <w:r w:rsidR="00493040">
        <w:rPr>
          <w:rFonts w:ascii="Times New Roman" w:eastAsiaTheme="minorEastAsia" w:hAnsi="Times New Roman" w:cs="Times New Roman"/>
        </w:rPr>
        <w:fldChar w:fldCharType="begin"/>
      </w:r>
      <w:r w:rsidR="00493040">
        <w:rPr>
          <w:rFonts w:ascii="Times New Roman" w:eastAsiaTheme="minorEastAsia" w:hAnsi="Times New Roman" w:cs="Times New Roman"/>
        </w:rPr>
        <w:instrText xml:space="preserve"> ADDIN ZOTERO_ITEM CSL_CITATION {"citationID":"gz3Jyulz","properties":{"formattedCitation":"(R Core Team, 2022)","plainCitation":"(R Core Team, 2022)","noteIndex":0},"citationItems":[{"id":2596,"uris":["http://zotero.org/users/6220652/items/48RQZ42M"],"itemData":{"id":2596,"type":"software","event-place":"Vienna, Austria.","publisher":"R Foundation for Statistical Computing","publisher-place":"Vienna, Austria.","title":"R: A language and Environment for Statistical Computing","URL":"https://www.R-project.org/","version":"4.2.2.","author":[{"family":"R Core Team","given":""}],"issued":{"date-parts":[["2022"]]}}}],"schema":"https://github.com/citation-style-language/schema/raw/master/csl-citation.json"} </w:instrText>
      </w:r>
      <w:r w:rsidR="00493040">
        <w:rPr>
          <w:rFonts w:ascii="Times New Roman" w:eastAsiaTheme="minorEastAsia" w:hAnsi="Times New Roman" w:cs="Times New Roman"/>
        </w:rPr>
        <w:fldChar w:fldCharType="separate"/>
      </w:r>
      <w:r w:rsidR="00493040">
        <w:rPr>
          <w:rFonts w:ascii="Times New Roman" w:eastAsiaTheme="minorEastAsia" w:hAnsi="Times New Roman" w:cs="Times New Roman"/>
          <w:noProof/>
        </w:rPr>
        <w:t>(R Core Team, 2022)</w:t>
      </w:r>
      <w:r w:rsidR="00493040">
        <w:rPr>
          <w:rFonts w:ascii="Times New Roman" w:eastAsiaTheme="minorEastAsia" w:hAnsi="Times New Roman" w:cs="Times New Roman"/>
        </w:rPr>
        <w:fldChar w:fldCharType="end"/>
      </w:r>
      <w:r w:rsidR="00493040">
        <w:rPr>
          <w:rFonts w:ascii="Times New Roman" w:hAnsi="Times New Roman" w:cs="Times New Roman"/>
        </w:rPr>
        <w:t xml:space="preserve">. Data cleaning and summarization was performed using the `dplyr` package in R </w:t>
      </w:r>
      <w:r w:rsidR="00493040">
        <w:rPr>
          <w:rFonts w:ascii="Times New Roman" w:hAnsi="Times New Roman" w:cs="Times New Roman"/>
        </w:rPr>
        <w:fldChar w:fldCharType="begin"/>
      </w:r>
      <w:r w:rsidR="00493040">
        <w:rPr>
          <w:rFonts w:ascii="Times New Roman" w:hAnsi="Times New Roman" w:cs="Times New Roman"/>
        </w:rPr>
        <w:instrText xml:space="preserve"> ADDIN ZOTERO_ITEM CSL_CITATION {"citationID":"ntxB9LWk","properties":{"formattedCitation":"(Wickham et al., 2023)","plainCitation":"(Wickham et al., 2023)","noteIndex":0},"citationItems":[{"id":2682,"uris":["http://zotero.org/users/6220652/items/ANTFKFIR"],"itemData":{"id":2682,"type":"software","title":"dplyr: A Grammar of Data Manipulation","URL":"https://CRAN.R-project.org/package=dplyr","version":"1.1.4","author":[{"family":"Wickham","given":"Hadley"},{"family":"François","given":"Romain"},{"family":"Henry","given":"Lionel"},{"family":"Vaughan","given":"Davis"}],"issued":{"date-parts":[["2023"]]}}}],"schema":"https://github.com/citation-style-language/schema/raw/master/csl-citation.json"} </w:instrText>
      </w:r>
      <w:r w:rsidR="00493040">
        <w:rPr>
          <w:rFonts w:ascii="Times New Roman" w:hAnsi="Times New Roman" w:cs="Times New Roman"/>
        </w:rPr>
        <w:fldChar w:fldCharType="separate"/>
      </w:r>
      <w:r w:rsidR="00493040">
        <w:rPr>
          <w:rFonts w:ascii="Times New Roman" w:hAnsi="Times New Roman" w:cs="Times New Roman"/>
          <w:noProof/>
        </w:rPr>
        <w:t>(Wickham et al., 2023)</w:t>
      </w:r>
      <w:r w:rsidR="00493040">
        <w:rPr>
          <w:rFonts w:ascii="Times New Roman" w:hAnsi="Times New Roman" w:cs="Times New Roman"/>
        </w:rPr>
        <w:fldChar w:fldCharType="end"/>
      </w:r>
      <w:r w:rsidR="00493040">
        <w:rPr>
          <w:rFonts w:ascii="Times New Roman" w:hAnsi="Times New Roman" w:cs="Times New Roman"/>
        </w:rPr>
        <w:t xml:space="preserve">. Aspatial plots and figures were created using the `ggplot2` package in R </w:t>
      </w:r>
      <w:r w:rsidR="00493040">
        <w:rPr>
          <w:rFonts w:ascii="Times New Roman" w:hAnsi="Times New Roman" w:cs="Times New Roman"/>
        </w:rPr>
        <w:fldChar w:fldCharType="begin"/>
      </w:r>
      <w:r w:rsidR="00493040">
        <w:rPr>
          <w:rFonts w:ascii="Times New Roman" w:hAnsi="Times New Roman" w:cs="Times New Roman"/>
        </w:rPr>
        <w:instrText xml:space="preserve"> ADDIN ZOTERO_ITEM CSL_CITATION {"citationID":"gSoUazLs","properties":{"formattedCitation":"(Wickham, 2016)","plainCitation":"(Wickham, 2016)","noteIndex":0},"citationItems":[{"id":1008,"uris":["http://zotero.org/users/6220652/items/LH5JRHLK"],"itemData":{"id":1008,"type":"book","abstract":"This new edition to the classic book by ggplot2 creator Hadley Wickham highlights compatibility with knitr and RStudio. ggplot2 is a data visualization package for R that helps users create data graphics, including those that are multi-layered, with ease. With ggplot2, it's easy to: - produce handsome, publication-quality plots with automatic legends created from the plot specification - superimpose multiple layers (points, lines, maps, tiles, box plots) from different data sources with automatically adjusted common scales - add customizable smoothers that use powerful modeling capabilities of R, such as loess, linear models, generalized additive models, and robust regression - save any ggplot2 plot (or part thereof) for later modification or reuse - create custom themes that capture in-house or journal style requirements and that can easily be applied to multiple plots - approach a graph from a visual perspective, thinking about how each component of the data is represented on the final plot This book will be useful to everyone who has struggled with displaying data in an informative and attractive way. Some basic knowledge of R is necessary (e.g., importing data into R). ggplot2 is a mini-language specifically tailored for producing graphics, and you'll learn everything you need in the book. After reading this book you'll be able to produce graphics customized precisely for your problems, and you'll find it easy to get graphics out of your head and on to the screen or page. New to this edition:&lt; - Brings the book up-to-date with ggplot2 1.0, including major updates to the theme system - New scales, stats and geoms added throughout - Additional practice exercises - A revised introduction that focuses on ggplot() instead of qplot() - Updated chapters on data and modeling using tidyr, dplyr and broom","call-number":"519.5","collection-title":"Use R!","edition":"2nd ed. 2016","event-place":"Cham","ISBN":"978-3-319-24277-4","note":"DOI: 10.1007/978-3-319-24277-4","number-of-pages":"1","publisher":"Springer International Publishing : Imprint: Springer","publisher-place":"Cham","source":"Library of Congress ISBN","title":"ggplot2: Elegant Graphics for Data Analysis","title-short":"ggplot2","author":[{"family":"Wickham","given":"Hadley"}],"issued":{"date-parts":[["2016"]]}}}],"schema":"https://github.com/citation-style-language/schema/raw/master/csl-citation.json"} </w:instrText>
      </w:r>
      <w:r w:rsidR="00493040">
        <w:rPr>
          <w:rFonts w:ascii="Times New Roman" w:hAnsi="Times New Roman" w:cs="Times New Roman"/>
        </w:rPr>
        <w:fldChar w:fldCharType="separate"/>
      </w:r>
      <w:r w:rsidR="00493040">
        <w:rPr>
          <w:rFonts w:ascii="Times New Roman" w:hAnsi="Times New Roman" w:cs="Times New Roman"/>
          <w:noProof/>
        </w:rPr>
        <w:t>(Wickham, 2016)</w:t>
      </w:r>
      <w:r w:rsidR="00493040">
        <w:rPr>
          <w:rFonts w:ascii="Times New Roman" w:hAnsi="Times New Roman" w:cs="Times New Roman"/>
        </w:rPr>
        <w:fldChar w:fldCharType="end"/>
      </w:r>
      <w:r w:rsidR="00493040">
        <w:rPr>
          <w:rFonts w:ascii="Times New Roman" w:hAnsi="Times New Roman" w:cs="Times New Roman"/>
        </w:rPr>
        <w:t>. Maps were generated using both the `tmap` and `</w:t>
      </w:r>
      <w:proofErr w:type="spellStart"/>
      <w:r w:rsidR="00493040">
        <w:rPr>
          <w:rFonts w:ascii="Times New Roman" w:hAnsi="Times New Roman" w:cs="Times New Roman"/>
        </w:rPr>
        <w:t>tmaptools</w:t>
      </w:r>
      <w:proofErr w:type="spellEnd"/>
      <w:r w:rsidR="00493040">
        <w:rPr>
          <w:rFonts w:ascii="Times New Roman" w:hAnsi="Times New Roman" w:cs="Times New Roman"/>
        </w:rPr>
        <w:t xml:space="preserve">` packages in R </w:t>
      </w:r>
      <w:r w:rsidR="00A53339">
        <w:rPr>
          <w:rFonts w:ascii="Times New Roman" w:hAnsi="Times New Roman" w:cs="Times New Roman"/>
        </w:rPr>
        <w:fldChar w:fldCharType="begin"/>
      </w:r>
      <w:r w:rsidR="00A53339">
        <w:rPr>
          <w:rFonts w:ascii="Times New Roman" w:hAnsi="Times New Roman" w:cs="Times New Roman"/>
        </w:rPr>
        <w:instrText xml:space="preserve"> ADDIN ZOTERO_ITEM CSL_CITATION {"citationID":"nYutM03N","properties":{"formattedCitation":"(Tennekes, 2021, 2018)","plainCitation":"(Tennekes, 2021, 2018)","noteIndex":0},"citationItems":[{"id":609,"uris":["http://zotero.org/users/6220652/items/TGLTAHM9"],"itemData":{"id":609,"type":"article-journal","container-title":"Journal of Statistical Software","DOI":"10.18637/jss.v084.i06","ISSN":"1548-7660","issue":"6","journalAbbreviation":"J. Stat. Soft.","language":"en","source":"DOI.org (Crossref)","title":"&lt;b&gt;tmap&lt;/b&gt; : Thematic Maps in &lt;i&gt;R&lt;/i&gt;","title-short":"&lt;b&gt;tmap&lt;/b&gt;","URL":"http://www.jstatsoft.org/v84/i06/","volume":"84","author":[{"family":"Tennekes","given":"Martijn"}],"accessed":{"date-parts":[["2020",12,13]]},"issued":{"date-parts":[["2018"]]}}},{"id":2683,"uris":["http://zotero.org/users/6220652/items/BD7GP73W"],"itemData":{"id":2683,"type":"software","title":"tmaptools: Thematic Map Tools","URL":"https://CRAN.R-project.org/package=tmaptools","version":"3.1-1","author":[{"family":"Tennekes","given":"Martijn"}],"issued":{"date-parts":[["2021"]]}}}],"schema":"https://github.com/citation-style-language/schema/raw/master/csl-citation.json"} </w:instrText>
      </w:r>
      <w:r w:rsidR="00A53339">
        <w:rPr>
          <w:rFonts w:ascii="Times New Roman" w:hAnsi="Times New Roman" w:cs="Times New Roman"/>
        </w:rPr>
        <w:fldChar w:fldCharType="separate"/>
      </w:r>
      <w:r w:rsidR="00A53339">
        <w:rPr>
          <w:rFonts w:ascii="Times New Roman" w:hAnsi="Times New Roman" w:cs="Times New Roman"/>
          <w:noProof/>
        </w:rPr>
        <w:t>(Tennekes, 2021, 2018)</w:t>
      </w:r>
      <w:r w:rsidR="00A53339">
        <w:rPr>
          <w:rFonts w:ascii="Times New Roman" w:hAnsi="Times New Roman" w:cs="Times New Roman"/>
        </w:rPr>
        <w:fldChar w:fldCharType="end"/>
      </w:r>
      <w:r w:rsidR="00A53339">
        <w:rPr>
          <w:rFonts w:ascii="Times New Roman" w:hAnsi="Times New Roman" w:cs="Times New Roman"/>
        </w:rPr>
        <w:t xml:space="preserve">. </w:t>
      </w:r>
    </w:p>
    <w:p w14:paraId="20C1EC34" w14:textId="77777777" w:rsidR="002A703C" w:rsidRDefault="002A703C" w:rsidP="00DA2A29">
      <w:pPr>
        <w:spacing w:line="480" w:lineRule="auto"/>
        <w:rPr>
          <w:rFonts w:ascii="Times New Roman" w:hAnsi="Times New Roman" w:cs="Times New Roman"/>
        </w:rPr>
      </w:pPr>
    </w:p>
    <w:p w14:paraId="5AB1FC7E" w14:textId="23B97522" w:rsidR="00331E06" w:rsidRDefault="00331E06" w:rsidP="00DA2A29">
      <w:pPr>
        <w:spacing w:line="480" w:lineRule="auto"/>
        <w:rPr>
          <w:rFonts w:ascii="Times New Roman" w:hAnsi="Times New Roman" w:cs="Times New Roman"/>
          <w:i/>
          <w:iCs/>
        </w:rPr>
      </w:pPr>
      <w:r>
        <w:rPr>
          <w:rFonts w:ascii="Times New Roman" w:hAnsi="Times New Roman" w:cs="Times New Roman"/>
          <w:i/>
          <w:iCs/>
        </w:rPr>
        <w:t>White-tailed deer functional connectivity modeling</w:t>
      </w:r>
    </w:p>
    <w:p w14:paraId="08DF5CFD" w14:textId="3994ED94" w:rsidR="00331E06" w:rsidRDefault="00331E06" w:rsidP="00DA2A29">
      <w:pPr>
        <w:spacing w:line="480" w:lineRule="auto"/>
        <w:rPr>
          <w:rFonts w:ascii="Times New Roman" w:hAnsi="Times New Roman" w:cs="Times New Roman"/>
        </w:rPr>
      </w:pPr>
      <w:r>
        <w:rPr>
          <w:rFonts w:ascii="Times New Roman" w:hAnsi="Times New Roman" w:cs="Times New Roman"/>
        </w:rPr>
        <w:tab/>
      </w:r>
      <w:r w:rsidR="00FA6240">
        <w:rPr>
          <w:rFonts w:ascii="Times New Roman" w:hAnsi="Times New Roman" w:cs="Times New Roman"/>
        </w:rPr>
        <w:t>White-tailed deer functional connectivity was quantified using the patch-level sinuous connection reduction (SCR) index for each unique sampling site visited</w:t>
      </w:r>
      <w:r w:rsidR="006D7CA6">
        <w:rPr>
          <w:rFonts w:ascii="Times New Roman" w:hAnsi="Times New Roman" w:cs="Times New Roman"/>
        </w:rPr>
        <w:t xml:space="preserve">, and landscape-level SCR for wildlife management units (WMUs) in NYS. </w:t>
      </w:r>
      <w:r w:rsidR="00FA6240">
        <w:rPr>
          <w:rFonts w:ascii="Times New Roman" w:hAnsi="Times New Roman" w:cs="Times New Roman"/>
        </w:rPr>
        <w:t xml:space="preserve"> (O’Connor et. al., in-review). The SCR index is a connectivity metric that makes use of </w:t>
      </w:r>
      <w:r w:rsidR="00E05F27">
        <w:rPr>
          <w:rFonts w:ascii="Times New Roman" w:hAnsi="Times New Roman" w:cs="Times New Roman"/>
        </w:rPr>
        <w:t>least-cost</w:t>
      </w:r>
      <w:r w:rsidR="00CD3911">
        <w:rPr>
          <w:rFonts w:ascii="Times New Roman" w:hAnsi="Times New Roman" w:cs="Times New Roman"/>
        </w:rPr>
        <w:t xml:space="preserve"> </w:t>
      </w:r>
      <w:r w:rsidR="00E05F27">
        <w:rPr>
          <w:rFonts w:ascii="Times New Roman" w:hAnsi="Times New Roman" w:cs="Times New Roman"/>
        </w:rPr>
        <w:t xml:space="preserve">paths </w:t>
      </w:r>
      <w:r w:rsidR="00FA6240">
        <w:rPr>
          <w:rFonts w:ascii="Times New Roman" w:hAnsi="Times New Roman" w:cs="Times New Roman"/>
        </w:rPr>
        <w:t xml:space="preserve">and can be calculated for organisms with a home-range. </w:t>
      </w:r>
      <w:r w:rsidR="00E05F27">
        <w:rPr>
          <w:rFonts w:ascii="Times New Roman" w:hAnsi="Times New Roman" w:cs="Times New Roman"/>
        </w:rPr>
        <w:t>Least-cost</w:t>
      </w:r>
      <w:r w:rsidR="00CD3911">
        <w:rPr>
          <w:rFonts w:ascii="Times New Roman" w:hAnsi="Times New Roman" w:cs="Times New Roman"/>
        </w:rPr>
        <w:t xml:space="preserve"> </w:t>
      </w:r>
      <w:r w:rsidR="00E05F27">
        <w:rPr>
          <w:rFonts w:ascii="Times New Roman" w:hAnsi="Times New Roman" w:cs="Times New Roman"/>
        </w:rPr>
        <w:t xml:space="preserve">paths are used to calculate the movement potential of an organism based on the level of resistance a landscape provides to the organism’s movement </w:t>
      </w:r>
      <w:r w:rsidR="00CD3911">
        <w:rPr>
          <w:rFonts w:ascii="Times New Roman" w:hAnsi="Times New Roman" w:cs="Times New Roman"/>
        </w:rPr>
        <w:fldChar w:fldCharType="begin"/>
      </w:r>
      <w:r w:rsidR="00CD3911">
        <w:rPr>
          <w:rFonts w:ascii="Times New Roman" w:hAnsi="Times New Roman" w:cs="Times New Roman"/>
        </w:rPr>
        <w:instrText xml:space="preserve"> ADDIN ZOTERO_ITEM CSL_CITATION {"citationID":"pCe9laZZ","properties":{"formattedCitation":"(Keeley et al., 2021; McRae, 2012, 2006; McRae et al., 2008; McRae and Beier, 2007)","plainCitation":"(Keeley et al., 2021; McRae, 2012, 2006; McRae et al., 2008; McRae and Beier, 2007)","noteIndex":0},"citationItems":[{"id":2336,"uris":["http://zotero.org/users/6220652/items/D5FALW5R"],"itemData":{"id":2336,"type":"article-journal","container-title":"Biological Conservation","DOI":"10.1016/j.biocon.2021.109008","ISSN":"00063207","journalAbbreviation":"Biological Conservation","language":"en","page":"109008","source":"DOI.org (Crossref)","title":"Connectivity metrics for conservation planning and monitoring","URL":"https://linkinghub.elsevier.com/retrieve/pii/S0006320721000604","volume":"255","author":[{"family":"Keeley","given":"Annika T.H."},{"family":"Beier","given":"Paul"},{"family":"Jenness","given":"Jeff S."}],"accessed":{"date-parts":[["2023",3,17]]},"issued":{"date-parts":[["2021",3]]}}},{"id":2191,"uris":["http://zotero.org/users/6220652/items/6S2VSCW8"],"itemData":{"id":2191,"type":"software","event-place":"Seattle WA","publisher":"The Nature Conservancy","publisher-place":"Seattle WA","title":"Centrality Mapper Connectivity Analysis Software","URL":"https://linkagemapper.org","author":[{"family":"McRae","given":"Brad H."}],"issued":{"date-parts":[["2012"]]}}},{"id":2576,"uris":["http://zotero.org/users/6220652/items/XHH9GYMI"],"itemData":{"id":2576,"type":"article-journal","abstract":"Despite growing interest in the effects of landscape heterogeneity on genetic structuring, few tools are available to incorporate data on landscape composition into population genetic studies. Analyses of isolation by distance have typically either assumed spatial homogeneity for convenience or applied theoretically unjustified distance metrics to compensate for heterogeneity. Here I propose the isolation-by-resistance (IBR) model as an alternative for predicting equilibrium genetic structuring in complex landscapes. The model predicts a positive relationship between genetic differentiation and the resistance distance, a distance metric that exploits precise relationships between random walk times and effective resistances in electronic networks. As a predictor of genetic differentiation, the resistance distance is both more theoretically justified and more robust to spatial heterogeneity than Euclidean or least cost path-based distance measures. Moreover, the metric can be applied with a wide range of data inputs, including coarse-scale range maps, simple maps of habitat and nonhabitat within a species' range, or complex spatial datasets with habitats and barriers of differing qualities. The IBR model thus provides a flexible and efficient tool to account for habitat heterogeneity in studies of isolation by distance, improve understanding of how landscape characteristics affect genetic structuring, and predict genetic and evolutionary consequences of landscape change.","container-title":"Evolution; International Journal of Organic Evolution","ISSN":"0014-3820","issue":"8","journalAbbreviation":"Evolution","language":"eng","note":"PMID: 17017056","page":"1551-1561","source":"PubMed","title":"Isolation by resistance","volume":"60","author":[{"family":"McRae","given":"Brad H."}],"issued":{"date-parts":[["2006",8]]}}},{"id":2133,"uris":["http://zotero.org/users/6220652/items/69ZI37HB"],"itemData":{"id":2133,"type":"article-journal","container-title":"Ecology","DOI":"10.1890/07-1861.1","ISSN":"0012-9658","issue":"10","journalAbbreviation":"Ecology","language":"en","page":"2712-2724","source":"DOI.org (Crossref)","title":"USING CIRCUIT THEORY TO MODEL CONNECTIVITY IN ECOLOGY, EVOLUTION, AND CONSERVATION","URL":"http://doi.wiley.com/10.1890/07-1861.1","volume":"89","author":[{"family":"McRae","given":"Brad H."},{"family":"Dickson","given":"Brett G."},{"family":"Keitt","given":"Timothy H."},{"family":"Shah","given":"Viral B."}],"accessed":{"date-parts":[["2022",7,21]]},"issued":{"date-parts":[["2008",10]]}}},{"id":2561,"uris":["http://zotero.org/users/6220652/items/SN8NHSUX"],"itemData":{"id":2561,"type":"article-journal","abstract":"Maintaining connectivity for broad-scale ecological processes like dispersal and gene flow is essential for conserving endangered species in fragmented landscapes. However, determining which habitats should be set aside to promote connectivity has been difficult because existing models cannot incorporate effects of multiple pathways linking populations. Here, we test an ecological connectivity model that overcomes this obstacle by borrowing from electrical circuit theory. The model vastly improves gene flow predictions because it simultaneously integrates all possible pathways connecting populations. When applied to data from threatened mammal and tree species, the model consistently outperformed conventional gene flow models, revealing that barriers were less important in structuring populations than previously thought. Circuit theory now provides the best-justified method to bridge landscape and genetic data, and holds much promise in ecology, evolution, and conservation planning.","container-title":"Proceedings of the National Academy of Sciences","DOI":"10.1073/pnas.0706568104","ISSN":"0027-8424, 1091-6490","issue":"50","journalAbbreviation":"Proc. Natl. Acad. Sci. U.S.A.","language":"en","page":"19885-19890","source":"DOI.org (Crossref)","title":"Circuit theory predicts gene flow in plant and animal populations","URL":"https://pnas.org/doi/full/10.1073/pnas.0706568104","volume":"104","author":[{"family":"McRae","given":"Brad H."},{"family":"Beier","given":"Paul"}],"accessed":{"date-parts":[["2024",1,25]]},"issued":{"date-parts":[["2007",12,11]]}}}],"schema":"https://github.com/citation-style-language/schema/raw/master/csl-citation.json"} </w:instrText>
      </w:r>
      <w:r w:rsidR="00CD3911">
        <w:rPr>
          <w:rFonts w:ascii="Times New Roman" w:hAnsi="Times New Roman" w:cs="Times New Roman"/>
        </w:rPr>
        <w:fldChar w:fldCharType="separate"/>
      </w:r>
      <w:r w:rsidR="00CD3911">
        <w:rPr>
          <w:rFonts w:ascii="Times New Roman" w:hAnsi="Times New Roman" w:cs="Times New Roman"/>
          <w:noProof/>
        </w:rPr>
        <w:t>(Keeley et al., 2021; McRae, 2012, 2006; McRae et al., 2008; McRae and Beier, 2007)</w:t>
      </w:r>
      <w:r w:rsidR="00CD3911">
        <w:rPr>
          <w:rFonts w:ascii="Times New Roman" w:hAnsi="Times New Roman" w:cs="Times New Roman"/>
        </w:rPr>
        <w:fldChar w:fldCharType="end"/>
      </w:r>
      <w:r w:rsidR="00E05F27">
        <w:rPr>
          <w:rFonts w:ascii="Times New Roman" w:hAnsi="Times New Roman" w:cs="Times New Roman"/>
        </w:rPr>
        <w:t xml:space="preserve">. </w:t>
      </w:r>
      <w:r w:rsidR="00CD3911">
        <w:rPr>
          <w:rFonts w:ascii="Times New Roman" w:hAnsi="Times New Roman" w:cs="Times New Roman"/>
        </w:rPr>
        <w:t>R</w:t>
      </w:r>
      <w:r w:rsidR="00E05F27">
        <w:rPr>
          <w:rFonts w:ascii="Times New Roman" w:hAnsi="Times New Roman" w:cs="Times New Roman"/>
        </w:rPr>
        <w:t>ecently</w:t>
      </w:r>
      <w:r w:rsidR="00CD3911">
        <w:rPr>
          <w:rFonts w:ascii="Times New Roman" w:hAnsi="Times New Roman" w:cs="Times New Roman"/>
        </w:rPr>
        <w:t>, least-cost paths have</w:t>
      </w:r>
      <w:r w:rsidR="00E05F27">
        <w:rPr>
          <w:rFonts w:ascii="Times New Roman" w:hAnsi="Times New Roman" w:cs="Times New Roman"/>
        </w:rPr>
        <w:t xml:space="preserve"> been used to examine </w:t>
      </w:r>
      <w:r w:rsidR="00CD3911">
        <w:rPr>
          <w:rFonts w:ascii="Times New Roman" w:hAnsi="Times New Roman" w:cs="Times New Roman"/>
        </w:rPr>
        <w:t>how</w:t>
      </w:r>
      <w:r w:rsidR="00E05F27">
        <w:rPr>
          <w:rFonts w:ascii="Times New Roman" w:hAnsi="Times New Roman" w:cs="Times New Roman"/>
        </w:rPr>
        <w:t xml:space="preserve"> white-tailed deer connectivity influences </w:t>
      </w:r>
      <w:r w:rsidR="00CD3911">
        <w:rPr>
          <w:rFonts w:ascii="Times New Roman" w:hAnsi="Times New Roman" w:cs="Times New Roman"/>
        </w:rPr>
        <w:t xml:space="preserve">tick density and the prevalence of </w:t>
      </w:r>
      <w:r w:rsidR="00CD3911">
        <w:rPr>
          <w:rFonts w:ascii="Times New Roman" w:hAnsi="Times New Roman" w:cs="Times New Roman"/>
          <w:i/>
          <w:iCs/>
        </w:rPr>
        <w:t xml:space="preserve">B. burgdorferi </w:t>
      </w:r>
      <w:r w:rsidR="00CD3911">
        <w:rPr>
          <w:rFonts w:ascii="Times New Roman" w:hAnsi="Times New Roman" w:cs="Times New Roman"/>
        </w:rPr>
        <w:t>in nymphal ticks in New York City</w:t>
      </w:r>
      <w:r w:rsidR="00E05F27">
        <w:rPr>
          <w:rFonts w:ascii="Times New Roman" w:hAnsi="Times New Roman" w:cs="Times New Roman"/>
        </w:rPr>
        <w:t xml:space="preserve"> </w:t>
      </w:r>
      <w:r w:rsidR="00E05F27">
        <w:rPr>
          <w:rFonts w:ascii="Times New Roman" w:hAnsi="Times New Roman" w:cs="Times New Roman"/>
        </w:rPr>
        <w:fldChar w:fldCharType="begin"/>
      </w:r>
      <w:r w:rsidR="00E05F27">
        <w:rPr>
          <w:rFonts w:ascii="Times New Roman" w:hAnsi="Times New Roman" w:cs="Times New Roman"/>
        </w:rPr>
        <w:instrText xml:space="preserve"> ADDIN ZOTERO_ITEM CSL_CITATION {"citationID":"TMJZ5unF","properties":{"formattedCitation":"(VanAcker et al., 2019)","plainCitation":"(VanAcker et al., 2019)","noteIndex":0},"citationItems":[{"id":2084,"uris":["http://zotero.org/users/6220652/items/PLQ8UHN3"],"itemData":{"id":2084,"type":"article-journal","container-title":"Emerging Infectious Diseases","DOI":"10.3201/eid2506.181741","ISSN":"1080-6040, 1080-6059","issue":"6","journalAbbreviation":"Emerg. Infect. Dis.","page":"1136-1143","source":"DOI.org (Crossref)","title":"Enhancement of Risk for Lyme Disease by Landscape Connectivity, New York, New York, USA","URL":"http://wwwnc.cdc.gov/eid/article/25/6/18-1741_article.htm","volume":"25","author":[{"family":"VanAcker","given":"Meredith C."},{"family":"Little","given":"Eliza A.H."},{"family":"Molaei","given":"Goudarz"},{"family":"Bajwa","given":"Waheed I."},{"family":"Diuk-Wasser","given":"Maria A."}],"accessed":{"date-parts":[["2022",7,1]]},"issued":{"date-parts":[["2019",6]]}}}],"schema":"https://github.com/citation-style-language/schema/raw/master/csl-citation.json"} </w:instrText>
      </w:r>
      <w:r w:rsidR="00E05F27">
        <w:rPr>
          <w:rFonts w:ascii="Times New Roman" w:hAnsi="Times New Roman" w:cs="Times New Roman"/>
        </w:rPr>
        <w:fldChar w:fldCharType="separate"/>
      </w:r>
      <w:r w:rsidR="00E05F27">
        <w:rPr>
          <w:rFonts w:ascii="Times New Roman" w:hAnsi="Times New Roman" w:cs="Times New Roman"/>
          <w:noProof/>
        </w:rPr>
        <w:t>(VanAcker et al., 2019)</w:t>
      </w:r>
      <w:r w:rsidR="00E05F27">
        <w:rPr>
          <w:rFonts w:ascii="Times New Roman" w:hAnsi="Times New Roman" w:cs="Times New Roman"/>
        </w:rPr>
        <w:fldChar w:fldCharType="end"/>
      </w:r>
      <w:r w:rsidR="00E05F27">
        <w:rPr>
          <w:rFonts w:ascii="Times New Roman" w:hAnsi="Times New Roman" w:cs="Times New Roman"/>
        </w:rPr>
        <w:t>.</w:t>
      </w:r>
      <w:r w:rsidR="00CD3911">
        <w:rPr>
          <w:rFonts w:ascii="Times New Roman" w:hAnsi="Times New Roman" w:cs="Times New Roman"/>
        </w:rPr>
        <w:t xml:space="preserve"> In this study</w:t>
      </w:r>
      <w:r w:rsidR="00FA6240">
        <w:rPr>
          <w:rFonts w:ascii="Times New Roman" w:hAnsi="Times New Roman" w:cs="Times New Roman"/>
        </w:rPr>
        <w:t>, the</w:t>
      </w:r>
      <w:r w:rsidR="00E05F27">
        <w:rPr>
          <w:rFonts w:ascii="Times New Roman" w:hAnsi="Times New Roman" w:cs="Times New Roman"/>
        </w:rPr>
        <w:t xml:space="preserve"> patch-level</w:t>
      </w:r>
      <w:r w:rsidR="00FA6240">
        <w:rPr>
          <w:rFonts w:ascii="Times New Roman" w:hAnsi="Times New Roman" w:cs="Times New Roman"/>
        </w:rPr>
        <w:t xml:space="preserve"> SCR index functions by </w:t>
      </w:r>
      <w:r w:rsidR="00E05F27">
        <w:rPr>
          <w:rFonts w:ascii="Times New Roman" w:hAnsi="Times New Roman" w:cs="Times New Roman"/>
        </w:rPr>
        <w:t xml:space="preserve">assessing how connected </w:t>
      </w:r>
      <w:r w:rsidR="00CD3911">
        <w:rPr>
          <w:rFonts w:ascii="Times New Roman" w:hAnsi="Times New Roman" w:cs="Times New Roman"/>
        </w:rPr>
        <w:t>sampling site’s forest patch</w:t>
      </w:r>
      <w:r w:rsidR="00E05F27">
        <w:rPr>
          <w:rFonts w:ascii="Times New Roman" w:hAnsi="Times New Roman" w:cs="Times New Roman"/>
        </w:rPr>
        <w:t xml:space="preserve"> is to surrounding </w:t>
      </w:r>
      <w:r w:rsidR="00CD3911">
        <w:rPr>
          <w:rFonts w:ascii="Times New Roman" w:hAnsi="Times New Roman" w:cs="Times New Roman"/>
        </w:rPr>
        <w:t xml:space="preserve">forest </w:t>
      </w:r>
      <w:r w:rsidR="00E05F27">
        <w:rPr>
          <w:rFonts w:ascii="Times New Roman" w:hAnsi="Times New Roman" w:cs="Times New Roman"/>
        </w:rPr>
        <w:t xml:space="preserve">patches within the home-range of the organism in-question. The connection of a </w:t>
      </w:r>
      <w:r w:rsidR="00CD3911">
        <w:rPr>
          <w:rFonts w:ascii="Times New Roman" w:hAnsi="Times New Roman" w:cs="Times New Roman"/>
        </w:rPr>
        <w:t>sampling site</w:t>
      </w:r>
      <w:r w:rsidR="00E05F27">
        <w:rPr>
          <w:rFonts w:ascii="Times New Roman" w:hAnsi="Times New Roman" w:cs="Times New Roman"/>
        </w:rPr>
        <w:t xml:space="preserve"> to nearby patches is modulated by the effort required for an organism to move between the patches, which can be modeled as the irregularity of the least-cost</w:t>
      </w:r>
      <w:r w:rsidR="00CD3911">
        <w:rPr>
          <w:rFonts w:ascii="Times New Roman" w:hAnsi="Times New Roman" w:cs="Times New Roman"/>
        </w:rPr>
        <w:t xml:space="preserve"> </w:t>
      </w:r>
      <w:r w:rsidR="00E05F27">
        <w:rPr>
          <w:rFonts w:ascii="Times New Roman" w:hAnsi="Times New Roman" w:cs="Times New Roman"/>
        </w:rPr>
        <w:t>path taken between the patches. Mathematically, the</w:t>
      </w:r>
      <w:r w:rsidR="00FA6240">
        <w:rPr>
          <w:rFonts w:ascii="Times New Roman" w:hAnsi="Times New Roman" w:cs="Times New Roman"/>
        </w:rPr>
        <w:t xml:space="preserve"> patch-level SCR index can be </w:t>
      </w:r>
      <w:r w:rsidR="00E05F27">
        <w:rPr>
          <w:rFonts w:ascii="Times New Roman" w:hAnsi="Times New Roman" w:cs="Times New Roman"/>
        </w:rPr>
        <w:t>written</w:t>
      </w:r>
      <w:r w:rsidR="00FA6240">
        <w:rPr>
          <w:rFonts w:ascii="Times New Roman" w:hAnsi="Times New Roman" w:cs="Times New Roman"/>
        </w:rPr>
        <w:t xml:space="preserve"> as:</w:t>
      </w:r>
    </w:p>
    <w:p w14:paraId="7D5047CE" w14:textId="64820301" w:rsidR="00FA6240" w:rsidRDefault="00FA6240" w:rsidP="00DA2A29">
      <w:pPr>
        <w:spacing w:line="480" w:lineRule="auto"/>
        <w:rPr>
          <w:rFonts w:ascii="Times New Roman" w:hAnsi="Times New Roman" w:cs="Times New Roman"/>
        </w:rPr>
      </w:pPr>
      <w:r>
        <w:rPr>
          <w:rFonts w:ascii="Times New Roman" w:hAnsi="Times New Roman" w:cs="Times New Roman"/>
        </w:rPr>
        <w:lastRenderedPageBreak/>
        <w:t>(Eq. 1)</w:t>
      </w:r>
    </w:p>
    <w:p w14:paraId="29D2CBDD" w14:textId="11778C9E" w:rsidR="00FA6240" w:rsidRDefault="009A07FA" w:rsidP="00FA6240">
      <w:pPr>
        <w:spacing w:line="480" w:lineRule="auto"/>
      </w:pPr>
      <m:oMathPara>
        <m:oMath>
          <m:sSub>
            <m:sSubPr>
              <m:ctrlPr>
                <w:rPr>
                  <w:rFonts w:ascii="Cambria Math" w:hAnsi="Cambria Math"/>
                  <w:i/>
                </w:rPr>
              </m:ctrlPr>
            </m:sSubPr>
            <m:e>
              <m:r>
                <w:rPr>
                  <w:rFonts w:ascii="Cambria Math" w:hAnsi="Cambria Math"/>
                </w:rPr>
                <m:t>SCR</m:t>
              </m:r>
            </m:e>
            <m:sub>
              <m:r>
                <w:rPr>
                  <w:rFonts w:ascii="Cambria Math" w:hAnsi="Cambria Math"/>
                </w:rPr>
                <m:t>patch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m:t>
                      </m:r>
                    </m:sup>
                  </m:sSubSup>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 xml:space="preserve"> </m:t>
                  </m:r>
                </m:e>
              </m:nary>
            </m:num>
            <m:den>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h</m:t>
                      </m:r>
                    </m:e>
                    <m:sub>
                      <m:r>
                        <w:rPr>
                          <w:rFonts w:ascii="Cambria Math" w:hAnsi="Cambria Math"/>
                        </w:rPr>
                        <m:t>i</m:t>
                      </m:r>
                    </m:sub>
                  </m:sSub>
                </m:sub>
              </m:sSub>
            </m:den>
          </m:f>
        </m:oMath>
      </m:oMathPara>
    </w:p>
    <w:p w14:paraId="425904E3" w14:textId="3438CD41" w:rsidR="00FA6240" w:rsidRPr="00FA6240" w:rsidRDefault="00FA6240" w:rsidP="00FA6240">
      <w:pPr>
        <w:spacing w:line="480" w:lineRule="auto"/>
        <w:rPr>
          <w:rFonts w:ascii="Times New Roman" w:eastAsiaTheme="minorEastAsia" w:hAnsi="Times New Roman" w:cs="Times New Roman"/>
        </w:rPr>
      </w:pPr>
      <w:r w:rsidRPr="00FA6240">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sidRPr="00FA6240">
        <w:rPr>
          <w:rFonts w:ascii="Times New Roman" w:hAnsi="Times New Roman" w:cs="Times New Roman"/>
        </w:rPr>
        <w:t xml:space="preserve"> is the area of </w:t>
      </w:r>
      <w:r w:rsidR="00D542BB">
        <w:rPr>
          <w:rFonts w:ascii="Times New Roman" w:hAnsi="Times New Roman" w:cs="Times New Roman"/>
        </w:rPr>
        <w:t>sampling site</w:t>
      </w:r>
      <w:r w:rsidRPr="00FA6240">
        <w:rPr>
          <w:rFonts w:ascii="Times New Roman" w:hAnsi="Times New Roman" w:cs="Times New Roman"/>
        </w:rPr>
        <w:t xml:space="preserve"> </w:t>
      </w:r>
      <m:oMath>
        <m:r>
          <w:rPr>
            <w:rFonts w:ascii="Cambria Math" w:hAnsi="Cambria Math" w:cs="Times New Roman"/>
          </w:rPr>
          <m:t>i</m:t>
        </m:r>
      </m:oMath>
      <w:r w:rsidRPr="00FA6240">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j</m:t>
            </m:r>
          </m:sub>
        </m:sSub>
      </m:oMath>
      <w:r w:rsidRPr="00FA6240">
        <w:rPr>
          <w:rFonts w:ascii="Times New Roman" w:eastAsiaTheme="minorEastAsia" w:hAnsi="Times New Roman" w:cs="Times New Roman"/>
        </w:rPr>
        <w:t xml:space="preserve"> is the area of patch </w:t>
      </w:r>
      <m:oMath>
        <m:r>
          <w:rPr>
            <w:rFonts w:ascii="Cambria Math" w:eastAsiaTheme="minorEastAsia" w:hAnsi="Cambria Math" w:cs="Times New Roman"/>
          </w:rPr>
          <m:t>j</m:t>
        </m:r>
      </m:oMath>
      <w:r w:rsidRPr="00FA6240">
        <w:rPr>
          <w:rFonts w:ascii="Times New Roman" w:eastAsiaTheme="minorEastAsia" w:hAnsi="Times New Roman" w:cs="Times New Roman"/>
        </w:rPr>
        <w:t xml:space="preserve">, located within a buffer of distance </w:t>
      </w:r>
      <m:oMath>
        <m:r>
          <w:rPr>
            <w:rFonts w:ascii="Cambria Math" w:eastAsiaTheme="minorEastAsia" w:hAnsi="Cambria Math" w:cs="Times New Roman"/>
          </w:rPr>
          <m:t>h</m:t>
        </m:r>
      </m:oMath>
      <w:r w:rsidRPr="00FA6240">
        <w:rPr>
          <w:rFonts w:ascii="Times New Roman" w:eastAsiaTheme="minorEastAsia" w:hAnsi="Times New Roman" w:cs="Times New Roman"/>
        </w:rPr>
        <w:t xml:space="preserve"> from focal patch </w:t>
      </w:r>
      <m:oMath>
        <m:r>
          <w:rPr>
            <w:rFonts w:ascii="Cambria Math" w:hAnsi="Cambria Math" w:cs="Times New Roman"/>
          </w:rPr>
          <m:t>i</m:t>
        </m:r>
      </m:oMath>
      <w:r w:rsidRPr="00FA6240">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A</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sub>
        </m:sSub>
      </m:oMath>
      <w:r w:rsidRPr="00FA6240">
        <w:rPr>
          <w:rFonts w:ascii="Times New Roman" w:eastAsiaTheme="minorEastAsia" w:hAnsi="Times New Roman" w:cs="Times New Roman"/>
        </w:rPr>
        <w:t xml:space="preserve"> is the area of the buffer around patch </w:t>
      </w:r>
      <m:oMath>
        <m:r>
          <w:rPr>
            <w:rFonts w:ascii="Cambria Math" w:eastAsiaTheme="minorEastAsia" w:hAnsi="Cambria Math" w:cs="Times New Roman"/>
          </w:rPr>
          <m:t>i</m:t>
        </m:r>
      </m:oMath>
      <w:r w:rsidRPr="00FA6240">
        <w:rPr>
          <w:rFonts w:ascii="Times New Roman" w:eastAsiaTheme="minorEastAsia" w:hAnsi="Times New Roman" w:cs="Times New Roman"/>
        </w:rPr>
        <w:t xml:space="preserve">, with a buffer distance typically set to be equivalent to a species-specific home range, </w:t>
      </w:r>
      <m:oMath>
        <m:r>
          <w:rPr>
            <w:rFonts w:ascii="Cambria Math" w:eastAsiaTheme="minorEastAsia" w:hAnsi="Cambria Math" w:cs="Times New Roman"/>
          </w:rPr>
          <m:t>h</m:t>
        </m:r>
      </m:oMath>
      <w:r w:rsidRPr="00FA6240">
        <w:rPr>
          <w:rFonts w:ascii="Times New Roman" w:eastAsiaTheme="minorEastAsia" w:hAnsi="Times New Roman" w:cs="Times New Roman"/>
        </w:rPr>
        <w:t xml:space="preserve">. </w:t>
      </w:r>
      <m:oMath>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ij</m:t>
            </m:r>
          </m:sub>
          <m:sup>
            <m:r>
              <w:rPr>
                <w:rFonts w:ascii="Cambria Math" w:eastAsiaTheme="minorEastAsia" w:hAnsi="Cambria Math" w:cs="Times New Roman"/>
              </w:rPr>
              <m:t>*</m:t>
            </m:r>
          </m:sup>
        </m:sSubSup>
      </m:oMath>
      <w:r w:rsidRPr="00FA6240">
        <w:rPr>
          <w:rFonts w:ascii="Times New Roman" w:eastAsiaTheme="minorEastAsia" w:hAnsi="Times New Roman" w:cs="Times New Roman"/>
        </w:rPr>
        <w:t xml:space="preserve"> is the reciprocal of the sinuosity of the least-cost path between patches </w:t>
      </w:r>
      <m:oMath>
        <m:r>
          <w:rPr>
            <w:rFonts w:ascii="Cambria Math" w:eastAsiaTheme="minorEastAsia" w:hAnsi="Cambria Math" w:cs="Times New Roman"/>
          </w:rPr>
          <m:t>i</m:t>
        </m:r>
      </m:oMath>
      <w:r w:rsidRPr="00FA6240">
        <w:rPr>
          <w:rFonts w:ascii="Times New Roman" w:eastAsiaTheme="minorEastAsia" w:hAnsi="Times New Roman" w:cs="Times New Roman"/>
        </w:rPr>
        <w:t xml:space="preserve"> and </w:t>
      </w:r>
      <m:oMath>
        <m:r>
          <w:rPr>
            <w:rFonts w:ascii="Cambria Math" w:eastAsiaTheme="minorEastAsia" w:hAnsi="Cambria Math" w:cs="Times New Roman"/>
          </w:rPr>
          <m:t>j</m:t>
        </m:r>
      </m:oMath>
      <w:r w:rsidRPr="00FA6240">
        <w:rPr>
          <w:rFonts w:ascii="Times New Roman" w:eastAsiaTheme="minorEastAsia" w:hAnsi="Times New Roman" w:cs="Times New Roman"/>
        </w:rPr>
        <w:t>, written as:</w:t>
      </w:r>
    </w:p>
    <w:p w14:paraId="6C1D5440" w14:textId="162FA7D6" w:rsidR="00FA6240" w:rsidRPr="00CD3911" w:rsidRDefault="00FA6240" w:rsidP="00FA6240">
      <w:pPr>
        <w:spacing w:line="480" w:lineRule="auto"/>
        <w:rPr>
          <w:rFonts w:ascii="Times New Roman" w:eastAsiaTheme="minorEastAsia" w:hAnsi="Times New Roman" w:cs="Times New Roman"/>
        </w:rPr>
      </w:pPr>
      <w:r w:rsidRPr="00CD3911">
        <w:rPr>
          <w:rFonts w:ascii="Times New Roman" w:eastAsiaTheme="minorEastAsia" w:hAnsi="Times New Roman" w:cs="Times New Roman"/>
        </w:rPr>
        <w:t xml:space="preserve">(Eq. </w:t>
      </w:r>
      <w:r w:rsidR="00CD3911" w:rsidRPr="00CD3911">
        <w:rPr>
          <w:rFonts w:ascii="Times New Roman" w:eastAsiaTheme="minorEastAsia" w:hAnsi="Times New Roman" w:cs="Times New Roman"/>
        </w:rPr>
        <w:t>2</w:t>
      </w:r>
      <w:r w:rsidRPr="00CD3911">
        <w:rPr>
          <w:rFonts w:ascii="Times New Roman" w:eastAsiaTheme="minorEastAsia" w:hAnsi="Times New Roman" w:cs="Times New Roman"/>
        </w:rPr>
        <w:t>)</w:t>
      </w:r>
    </w:p>
    <w:p w14:paraId="3C3608A5" w14:textId="77777777" w:rsidR="00FA6240" w:rsidRDefault="009A07FA" w:rsidP="00FA6240">
      <w:pPr>
        <w:spacing w:line="480" w:lineRule="auto"/>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ij</m:t>
                  </m:r>
                </m:sub>
              </m:sSub>
            </m:num>
            <m:den>
              <m:sSub>
                <m:sSubPr>
                  <m:ctrlPr>
                    <w:rPr>
                      <w:rFonts w:ascii="Cambria Math" w:hAnsi="Cambria Math"/>
                      <w:i/>
                    </w:rPr>
                  </m:ctrlPr>
                </m:sSubPr>
                <m:e>
                  <m:r>
                    <w:rPr>
                      <w:rFonts w:ascii="Cambria Math" w:hAnsi="Cambria Math"/>
                    </w:rPr>
                    <m:t>d</m:t>
                  </m:r>
                </m:e>
                <m:sub>
                  <m:r>
                    <w:rPr>
                      <w:rFonts w:ascii="Cambria Math" w:hAnsi="Cambria Math"/>
                    </w:rPr>
                    <m:t>ij</m:t>
                  </m:r>
                </m:sub>
              </m:sSub>
            </m:den>
          </m:f>
        </m:oMath>
      </m:oMathPara>
    </w:p>
    <w:p w14:paraId="12DDE8A7" w14:textId="500B2B65" w:rsidR="00FA6240" w:rsidRDefault="00FA6240" w:rsidP="00FA6240">
      <w:pPr>
        <w:spacing w:line="480" w:lineRule="auto"/>
        <w:rPr>
          <w:rFonts w:ascii="Times New Roman" w:eastAsiaTheme="minorEastAsia" w:hAnsi="Times New Roman" w:cs="Times New Roman"/>
        </w:rPr>
      </w:pPr>
      <w:r w:rsidRPr="00FA6240">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ij</m:t>
            </m:r>
          </m:sub>
        </m:sSub>
      </m:oMath>
      <w:r w:rsidRPr="00FA6240">
        <w:rPr>
          <w:rFonts w:ascii="Times New Roman" w:eastAsiaTheme="minorEastAsia" w:hAnsi="Times New Roman" w:cs="Times New Roman"/>
        </w:rPr>
        <w:t xml:space="preserve"> is the Euclidean distance between nodes </w:t>
      </w:r>
      <m:oMath>
        <m:r>
          <w:rPr>
            <w:rFonts w:ascii="Cambria Math" w:eastAsiaTheme="minorEastAsia" w:hAnsi="Cambria Math" w:cs="Times New Roman"/>
          </w:rPr>
          <m:t>i</m:t>
        </m:r>
      </m:oMath>
      <w:r w:rsidRPr="00FA6240">
        <w:rPr>
          <w:rFonts w:ascii="Times New Roman" w:eastAsiaTheme="minorEastAsia" w:hAnsi="Times New Roman" w:cs="Times New Roman"/>
        </w:rPr>
        <w:t xml:space="preserve"> and </w:t>
      </w:r>
      <m:oMath>
        <m:r>
          <w:rPr>
            <w:rFonts w:ascii="Cambria Math" w:eastAsiaTheme="minorEastAsia" w:hAnsi="Cambria Math" w:cs="Times New Roman"/>
          </w:rPr>
          <m:t>j</m:t>
        </m:r>
      </m:oMath>
      <w:r w:rsidRPr="00FA6240">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ij</m:t>
            </m:r>
          </m:sub>
        </m:sSub>
      </m:oMath>
      <w:r w:rsidRPr="00FA6240">
        <w:rPr>
          <w:rFonts w:ascii="Times New Roman" w:eastAsiaTheme="minorEastAsia" w:hAnsi="Times New Roman" w:cs="Times New Roman"/>
        </w:rPr>
        <w:t xml:space="preserve"> is the distance of the least-cost path between </w:t>
      </w:r>
      <w:r w:rsidR="00D542BB">
        <w:rPr>
          <w:rFonts w:ascii="Times New Roman" w:eastAsiaTheme="minorEastAsia" w:hAnsi="Times New Roman" w:cs="Times New Roman"/>
        </w:rPr>
        <w:t>patches</w:t>
      </w:r>
      <w:r w:rsidRPr="00FA6240">
        <w:rPr>
          <w:rFonts w:ascii="Times New Roman" w:eastAsiaTheme="minorEastAsia" w:hAnsi="Times New Roman" w:cs="Times New Roman"/>
        </w:rPr>
        <w:t xml:space="preserve"> </w:t>
      </w:r>
      <m:oMath>
        <m:r>
          <w:rPr>
            <w:rFonts w:ascii="Cambria Math" w:eastAsiaTheme="minorEastAsia" w:hAnsi="Cambria Math" w:cs="Times New Roman"/>
          </w:rPr>
          <m:t>i</m:t>
        </m:r>
      </m:oMath>
      <w:r w:rsidRPr="00FA6240">
        <w:rPr>
          <w:rFonts w:ascii="Times New Roman" w:eastAsiaTheme="minorEastAsia" w:hAnsi="Times New Roman" w:cs="Times New Roman"/>
        </w:rPr>
        <w:t xml:space="preserve"> and </w:t>
      </w:r>
      <m:oMath>
        <m:r>
          <w:rPr>
            <w:rFonts w:ascii="Cambria Math" w:eastAsiaTheme="minorEastAsia" w:hAnsi="Cambria Math" w:cs="Times New Roman"/>
          </w:rPr>
          <m:t>j</m:t>
        </m:r>
      </m:oMath>
      <w:r w:rsidRPr="00FA6240">
        <w:rPr>
          <w:rFonts w:ascii="Times New Roman" w:eastAsiaTheme="minorEastAsia" w:hAnsi="Times New Roman" w:cs="Times New Roman"/>
        </w:rPr>
        <w:t xml:space="preserve">. Meanwhile,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ij</m:t>
            </m:r>
          </m:sub>
          <m:sup>
            <m:r>
              <w:rPr>
                <w:rFonts w:ascii="Cambria Math" w:hAnsi="Cambria Math" w:cs="Times New Roman"/>
              </w:rPr>
              <m:t>*</m:t>
            </m:r>
          </m:sup>
        </m:sSubSup>
      </m:oMath>
      <w:r w:rsidRPr="00FA6240">
        <w:rPr>
          <w:rFonts w:ascii="Times New Roman" w:eastAsiaTheme="minorEastAsia" w:hAnsi="Times New Roman" w:cs="Times New Roman"/>
        </w:rPr>
        <w:t xml:space="preserve"> indicates that if there is no least-cost path between </w:t>
      </w:r>
      <w:r w:rsidR="00D542BB">
        <w:rPr>
          <w:rFonts w:ascii="Times New Roman" w:eastAsiaTheme="minorEastAsia" w:hAnsi="Times New Roman" w:cs="Times New Roman"/>
        </w:rPr>
        <w:t>patches</w:t>
      </w:r>
      <w:r w:rsidRPr="00FA6240">
        <w:rPr>
          <w:rFonts w:ascii="Times New Roman" w:eastAsiaTheme="minorEastAsia" w:hAnsi="Times New Roman" w:cs="Times New Roman"/>
        </w:rPr>
        <w:t xml:space="preserve"> </w:t>
      </w:r>
      <m:oMath>
        <m:r>
          <w:rPr>
            <w:rFonts w:ascii="Cambria Math" w:eastAsiaTheme="minorEastAsia" w:hAnsi="Cambria Math" w:cs="Times New Roman"/>
          </w:rPr>
          <m:t>i</m:t>
        </m:r>
      </m:oMath>
      <w:r w:rsidRPr="00FA6240">
        <w:rPr>
          <w:rFonts w:ascii="Times New Roman" w:eastAsiaTheme="minorEastAsia" w:hAnsi="Times New Roman" w:cs="Times New Roman"/>
        </w:rPr>
        <w:t xml:space="preserve"> and </w:t>
      </w:r>
      <m:oMath>
        <m:r>
          <w:rPr>
            <w:rFonts w:ascii="Cambria Math" w:eastAsiaTheme="minorEastAsia" w:hAnsi="Cambria Math" w:cs="Times New Roman"/>
          </w:rPr>
          <m:t>j</m:t>
        </m:r>
      </m:oMath>
      <w:r w:rsidRPr="00FA6240">
        <w:rPr>
          <w:rFonts w:ascii="Times New Roman" w:eastAsiaTheme="minorEastAsia"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ij</m:t>
            </m:r>
          </m:sub>
          <m:sup>
            <m:r>
              <w:rPr>
                <w:rFonts w:ascii="Cambria Math" w:hAnsi="Cambria Math" w:cs="Times New Roman"/>
              </w:rPr>
              <m:t>*</m:t>
            </m:r>
          </m:sup>
        </m:sSubSup>
      </m:oMath>
      <w:r w:rsidRPr="00FA6240">
        <w:rPr>
          <w:rFonts w:ascii="Times New Roman" w:eastAsiaTheme="minorEastAsia" w:hAnsi="Times New Roman" w:cs="Times New Roman"/>
        </w:rPr>
        <w:t xml:space="preserve"> will equal zero, rather than being undefined.</w:t>
      </w:r>
    </w:p>
    <w:p w14:paraId="1A174357" w14:textId="4734B1AD" w:rsidR="006D7CA6" w:rsidRPr="00FA6240" w:rsidRDefault="006D7CA6" w:rsidP="00FA6240">
      <w:pPr>
        <w:spacing w:line="480" w:lineRule="auto"/>
        <w:rPr>
          <w:rFonts w:ascii="Times New Roman" w:hAnsi="Times New Roman" w:cs="Times New Roman"/>
        </w:rPr>
      </w:pPr>
      <w:r>
        <w:rPr>
          <w:rFonts w:ascii="Times New Roman" w:eastAsiaTheme="minorEastAsia" w:hAnsi="Times New Roman" w:cs="Times New Roman"/>
        </w:rPr>
        <w:tab/>
        <w:t xml:space="preserve">Similarly, the landscape-level SCR index assesses the functional connectivity of an entire landscape by incorporating all patches within the landscape. The landscape-level SCR index can be written as: </w:t>
      </w:r>
    </w:p>
    <w:p w14:paraId="170083B8" w14:textId="3940289F" w:rsidR="006D7CA6" w:rsidRPr="006D7CA6" w:rsidRDefault="006D7CA6" w:rsidP="006D7CA6">
      <w:pPr>
        <w:spacing w:line="480" w:lineRule="auto"/>
        <w:rPr>
          <w:rFonts w:ascii="Times New Roman" w:eastAsiaTheme="minorEastAsia" w:hAnsi="Times New Roman" w:cs="Times New Roman"/>
        </w:rPr>
      </w:pPr>
      <w:r w:rsidRPr="006D7CA6">
        <w:rPr>
          <w:rFonts w:ascii="Times New Roman" w:eastAsiaTheme="minorEastAsia" w:hAnsi="Times New Roman" w:cs="Times New Roman"/>
        </w:rPr>
        <w:t xml:space="preserve">(Eq. </w:t>
      </w:r>
      <w:r>
        <w:rPr>
          <w:rFonts w:ascii="Times New Roman" w:eastAsiaTheme="minorEastAsia" w:hAnsi="Times New Roman" w:cs="Times New Roman"/>
        </w:rPr>
        <w:t>3</w:t>
      </w:r>
      <w:r w:rsidRPr="006D7CA6">
        <w:rPr>
          <w:rFonts w:ascii="Times New Roman" w:eastAsiaTheme="minorEastAsia" w:hAnsi="Times New Roman" w:cs="Times New Roman"/>
        </w:rPr>
        <w:t>)</w:t>
      </w:r>
    </w:p>
    <w:p w14:paraId="09C9E38B" w14:textId="77777777" w:rsidR="006D7CA6" w:rsidRPr="003368CB" w:rsidRDefault="009A07FA" w:rsidP="006D7CA6">
      <w:pPr>
        <w:spacing w:line="480" w:lineRule="auto"/>
        <w:rPr>
          <w:rFonts w:eastAsiaTheme="minorEastAsia"/>
        </w:rPr>
      </w:pPr>
      <m:oMathPara>
        <m:oMath>
          <m:sSub>
            <m:sSubPr>
              <m:ctrlPr>
                <w:rPr>
                  <w:rFonts w:ascii="Cambria Math" w:hAnsi="Cambria Math"/>
                  <w:i/>
                </w:rPr>
              </m:ctrlPr>
            </m:sSubPr>
            <m:e>
              <m:r>
                <w:rPr>
                  <w:rFonts w:ascii="Cambria Math" w:hAnsi="Cambria Math"/>
                </w:rPr>
                <m:t>SCR</m:t>
              </m:r>
            </m:e>
            <m:sub>
              <m:r>
                <w:rPr>
                  <w:rFonts w:ascii="Cambria Math" w:hAnsi="Cambria Math"/>
                </w:rPr>
                <m:t>landscape</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j</m:t>
                          </m:r>
                        </m:sub>
                      </m:sSub>
                    </m:sup>
                    <m:e>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m:t>
                          </m:r>
                        </m:sup>
                      </m:sSubSup>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 xml:space="preserve"> </m:t>
                      </m:r>
                    </m:e>
                  </m:nary>
                </m:e>
              </m:nary>
            </m:num>
            <m:den>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L</m:t>
                  </m:r>
                </m:sub>
              </m:sSub>
            </m:den>
          </m:f>
        </m:oMath>
      </m:oMathPara>
    </w:p>
    <w:p w14:paraId="5CA4ECB8" w14:textId="4429AAEE" w:rsidR="006D7CA6" w:rsidRPr="006D7CA6" w:rsidRDefault="006D7CA6" w:rsidP="006D7CA6">
      <w:pPr>
        <w:spacing w:line="480" w:lineRule="auto"/>
        <w:rPr>
          <w:rFonts w:ascii="Times New Roman" w:eastAsiaTheme="minorEastAsia" w:hAnsi="Times New Roman" w:cs="Times New Roman"/>
        </w:rPr>
      </w:pPr>
      <w:r>
        <w:rPr>
          <w:rFonts w:ascii="Times New Roman" w:eastAsiaTheme="minorEastAsia" w:hAnsi="Times New Roman" w:cs="Times New Roman"/>
        </w:rPr>
        <w:t>w</w:t>
      </w:r>
      <w:r w:rsidRPr="006D7CA6">
        <w:rPr>
          <w:rFonts w:ascii="Times New Roman" w:eastAsiaTheme="minorEastAsia" w:hAnsi="Times New Roman" w:cs="Times New Roman"/>
        </w:rPr>
        <w:t xml:space="preserve">here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i</m:t>
            </m:r>
          </m:sub>
        </m:sSub>
      </m:oMath>
      <w:r w:rsidRPr="006D7CA6">
        <w:rPr>
          <w:rFonts w:ascii="Times New Roman" w:eastAsiaTheme="minorEastAsia" w:hAnsi="Times New Roman" w:cs="Times New Roman"/>
        </w:rPr>
        <w:t xml:space="preserve"> is the number of </w:t>
      </w:r>
      <m:oMath>
        <m:r>
          <w:rPr>
            <w:rFonts w:ascii="Cambria Math" w:eastAsiaTheme="minorEastAsia" w:hAnsi="Cambria Math" w:cs="Times New Roman"/>
          </w:rPr>
          <m:t>i</m:t>
        </m:r>
      </m:oMath>
      <w:r w:rsidRPr="006D7CA6">
        <w:rPr>
          <w:rFonts w:ascii="Times New Roman" w:eastAsiaTheme="minorEastAsia" w:hAnsi="Times New Roman" w:cs="Times New Roman"/>
        </w:rPr>
        <w:t xml:space="preserve"> patches within the landscape </w:t>
      </w:r>
      <m:oMath>
        <m:r>
          <w:rPr>
            <w:rFonts w:ascii="Cambria Math" w:eastAsiaTheme="minorEastAsia" w:hAnsi="Cambria Math" w:cs="Times New Roman"/>
          </w:rPr>
          <m:t>L</m:t>
        </m:r>
      </m:oMath>
      <w:r w:rsidRPr="006D7CA6">
        <w:rPr>
          <w:rFonts w:ascii="Times New Roman" w:eastAsiaTheme="minorEastAsia" w:hAnsi="Times New Roman" w:cs="Times New Roman"/>
        </w:rPr>
        <w:t xml:space="preserve"> (with area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m:t>
            </m:r>
          </m:sub>
        </m:sSub>
      </m:oMath>
      <w:r w:rsidRPr="006D7CA6">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j</m:t>
            </m:r>
          </m:sub>
        </m:sSub>
      </m:oMath>
      <w:r w:rsidRPr="006D7CA6">
        <w:rPr>
          <w:rFonts w:ascii="Times New Roman" w:eastAsiaTheme="minorEastAsia" w:hAnsi="Times New Roman" w:cs="Times New Roman"/>
        </w:rPr>
        <w:t xml:space="preserve"> is the number of </w:t>
      </w:r>
      <m:oMath>
        <m:r>
          <w:rPr>
            <w:rFonts w:ascii="Cambria Math" w:eastAsiaTheme="minorEastAsia" w:hAnsi="Cambria Math" w:cs="Times New Roman"/>
          </w:rPr>
          <m:t>j</m:t>
        </m:r>
      </m:oMath>
      <w:r w:rsidRPr="006D7CA6">
        <w:rPr>
          <w:rFonts w:ascii="Times New Roman" w:eastAsiaTheme="minorEastAsia" w:hAnsi="Times New Roman" w:cs="Times New Roman"/>
        </w:rPr>
        <w:t xml:space="preserve"> patches within the species-specific home range. All other parameters are the same as the patch-level calculation. </w:t>
      </w:r>
    </w:p>
    <w:p w14:paraId="77A97BAC" w14:textId="1FAD3AD8" w:rsidR="00FA6240" w:rsidRDefault="00FA6240" w:rsidP="00DA2A29">
      <w:pPr>
        <w:spacing w:line="480" w:lineRule="auto"/>
        <w:rPr>
          <w:rFonts w:ascii="Times New Roman" w:hAnsi="Times New Roman" w:cs="Times New Roman"/>
        </w:rPr>
      </w:pPr>
    </w:p>
    <w:p w14:paraId="053036F4" w14:textId="29865018" w:rsidR="00562C10" w:rsidRDefault="008A3D7F" w:rsidP="00DA2A29">
      <w:pPr>
        <w:spacing w:line="480" w:lineRule="auto"/>
        <w:rPr>
          <w:rFonts w:ascii="Times New Roman" w:hAnsi="Times New Roman" w:cs="Times New Roman"/>
          <w:i/>
          <w:iCs/>
        </w:rPr>
      </w:pPr>
      <w:r>
        <w:rPr>
          <w:rFonts w:ascii="Times New Roman" w:hAnsi="Times New Roman" w:cs="Times New Roman"/>
          <w:i/>
          <w:iCs/>
        </w:rPr>
        <w:t>Sinuous connection reduction</w:t>
      </w:r>
      <w:r w:rsidR="00562C10">
        <w:rPr>
          <w:rFonts w:ascii="Times New Roman" w:hAnsi="Times New Roman" w:cs="Times New Roman"/>
          <w:i/>
          <w:iCs/>
        </w:rPr>
        <w:t xml:space="preserve"> parameterization</w:t>
      </w:r>
      <w:r w:rsidR="0036103D">
        <w:rPr>
          <w:rFonts w:ascii="Times New Roman" w:hAnsi="Times New Roman" w:cs="Times New Roman"/>
          <w:i/>
          <w:iCs/>
        </w:rPr>
        <w:t xml:space="preserve"> and computation</w:t>
      </w:r>
    </w:p>
    <w:p w14:paraId="71ED497E" w14:textId="03A04653" w:rsidR="005D718E" w:rsidRDefault="00562C10" w:rsidP="008A3D7F">
      <w:pPr>
        <w:spacing w:line="480" w:lineRule="auto"/>
        <w:rPr>
          <w:rFonts w:ascii="Times New Roman" w:eastAsiaTheme="minorEastAsia" w:hAnsi="Times New Roman" w:cs="Times New Roman"/>
        </w:rPr>
      </w:pPr>
      <w:r>
        <w:rPr>
          <w:rFonts w:ascii="Times New Roman" w:hAnsi="Times New Roman" w:cs="Times New Roman"/>
          <w:i/>
          <w:iCs/>
        </w:rPr>
        <w:lastRenderedPageBreak/>
        <w:tab/>
      </w:r>
      <w:r w:rsidR="006D7CA6">
        <w:rPr>
          <w:rFonts w:ascii="Times New Roman" w:hAnsi="Times New Roman" w:cs="Times New Roman"/>
        </w:rPr>
        <w:t>Both the patch-level and landscape-level</w:t>
      </w:r>
      <w:r w:rsidR="008A3D7F">
        <w:rPr>
          <w:rFonts w:ascii="Times New Roman" w:hAnsi="Times New Roman" w:cs="Times New Roman"/>
        </w:rPr>
        <w:t xml:space="preserve"> SCR index was calculated using parameters previously described</w:t>
      </w:r>
      <w:r w:rsidR="00D94C88">
        <w:rPr>
          <w:rFonts w:ascii="Times New Roman" w:hAnsi="Times New Roman" w:cs="Times New Roman"/>
        </w:rPr>
        <w:t>, where wildlife management units (WMUs) in NYS were used as landscape polygons</w:t>
      </w:r>
      <w:r w:rsidR="008A3D7F">
        <w:rPr>
          <w:rFonts w:ascii="Times New Roman" w:hAnsi="Times New Roman" w:cs="Times New Roman"/>
        </w:rPr>
        <w:t xml:space="preserve"> (O’Connor et al, in review)</w:t>
      </w:r>
      <w:r w:rsidR="00D94C88">
        <w:rPr>
          <w:rFonts w:ascii="Times New Roman" w:hAnsi="Times New Roman" w:cs="Times New Roman"/>
        </w:rPr>
        <w:t xml:space="preserve">. </w:t>
      </w:r>
      <w:r w:rsidR="006D7CA6">
        <w:rPr>
          <w:rFonts w:ascii="Times New Roman" w:hAnsi="Times New Roman" w:cs="Times New Roman"/>
        </w:rPr>
        <w:t xml:space="preserve">Both types of the SCR index were calculated to examine if the relationship between the prevalence of each </w:t>
      </w:r>
      <w:r w:rsidR="006D7CA6">
        <w:rPr>
          <w:rFonts w:ascii="Times New Roman" w:hAnsi="Times New Roman" w:cs="Times New Roman"/>
          <w:i/>
          <w:iCs/>
        </w:rPr>
        <w:t xml:space="preserve">A. phagocytophilum </w:t>
      </w:r>
      <w:r w:rsidR="006D7CA6">
        <w:rPr>
          <w:rFonts w:ascii="Times New Roman" w:hAnsi="Times New Roman" w:cs="Times New Roman"/>
        </w:rPr>
        <w:t>variant and white-tailed deer functional connectivity varie</w:t>
      </w:r>
      <w:r w:rsidR="00D94C88">
        <w:rPr>
          <w:rFonts w:ascii="Times New Roman" w:hAnsi="Times New Roman" w:cs="Times New Roman"/>
        </w:rPr>
        <w:t xml:space="preserve">d </w:t>
      </w:r>
      <w:r w:rsidR="006D7CA6">
        <w:rPr>
          <w:rFonts w:ascii="Times New Roman" w:hAnsi="Times New Roman" w:cs="Times New Roman"/>
        </w:rPr>
        <w:t xml:space="preserve">with spatial scale. </w:t>
      </w:r>
      <w:r w:rsidR="0036103D">
        <w:rPr>
          <w:rFonts w:ascii="Times New Roman" w:hAnsi="Times New Roman" w:cs="Times New Roman"/>
        </w:rPr>
        <w:t>T</w:t>
      </w:r>
      <w:r w:rsidR="0036103D">
        <w:rPr>
          <w:rFonts w:ascii="Times New Roman" w:eastAsiaTheme="minorEastAsia" w:hAnsi="Times New Roman" w:cs="Times New Roman"/>
        </w:rPr>
        <w:t xml:space="preserve">he home-range of white-tailed deer used in Eq. 1 was parameterized as 1,675 meters </w:t>
      </w:r>
      <w:r w:rsidR="0036103D">
        <w:rPr>
          <w:rFonts w:ascii="Times New Roman" w:eastAsiaTheme="minorEastAsia" w:hAnsi="Times New Roman" w:cs="Times New Roman"/>
        </w:rPr>
        <w:fldChar w:fldCharType="begin"/>
      </w:r>
      <w:r w:rsidR="0036103D">
        <w:rPr>
          <w:rFonts w:ascii="Times New Roman" w:eastAsiaTheme="minorEastAsia" w:hAnsi="Times New Roman" w:cs="Times New Roman"/>
        </w:rPr>
        <w:instrText xml:space="preserve"> ADDIN ZOTERO_ITEM CSL_CITATION {"citationID":"Z6c0Wexb","properties":{"formattedCitation":"(Williams et al., 2012)","plainCitation":"(Williams et al., 2012)","noteIndex":0},"citationItems":[{"id":2144,"uris":["http://zotero.org/users/6220652/items/ZA5B95BP"],"itemData":{"id":2144,"type":"article-journal","abstract":"Understanding how organisms respond to landscape heterogeneity is foundational to landscape ecology. We characterized seasonal scales of movement of white-tailed deer (Odocoileus viginianus) in an agricultural–forest matrix using ﬁrst-passage time analysis (FPT) for 62 GPS-collared individuals. We investigated whether those scales were driven by demographic or landscape features. We found FPT for each individual across all seasons was typically dominated by a peak in variance of FPT/area at scales (radii) from 425 to 1,675 m. These peaks occurred at scales consistent with seasonal space use. We observed additional lower magnitude peaks at larger scales (3,000–6,000 m) and small scales (25–150 m). Peaks at larger scales were associated with seasonal migrations and dispersal events. Small scale peaks may represent resting or foraging behavior. Female movements were organized at smaller scales than males in the spring/summer season. Models relating landscape features to movement scales suggest that deer perceive and move within the landscape differently as the roles of dominant land-cover types shift seasonally. During winter, conﬁguration (interspersion/juxtaposition) of land-cover types is more important to deer than during spring/summer and fall.","container-title":"Landscape Ecology","DOI":"10.1007/s10980-011-9664-5","ISSN":"0921-2973, 1572-9761","issue":"1","journalAbbreviation":"Landscape Ecol","language":"en","page":"45-57","source":"DOI.org (Crossref)","title":"Landscape effects on scales of movement by white-tailed deer in an agricultural–forest matrix","URL":"http://link.springer.com/10.1007/s10980-011-9664-5","volume":"27","author":[{"family":"Williams","given":"David M."},{"family":"Dechen Quinn","given":"Amy C."},{"family":"Porter","given":"William F."}],"accessed":{"date-parts":[["2022",8,1]]},"issued":{"date-parts":[["2012",1]]}}}],"schema":"https://github.com/citation-style-language/schema/raw/master/csl-citation.json"} </w:instrText>
      </w:r>
      <w:r w:rsidR="0036103D">
        <w:rPr>
          <w:rFonts w:ascii="Times New Roman" w:eastAsiaTheme="minorEastAsia" w:hAnsi="Times New Roman" w:cs="Times New Roman"/>
        </w:rPr>
        <w:fldChar w:fldCharType="separate"/>
      </w:r>
      <w:r w:rsidR="0036103D">
        <w:rPr>
          <w:rFonts w:ascii="Times New Roman" w:eastAsiaTheme="minorEastAsia" w:hAnsi="Times New Roman" w:cs="Times New Roman"/>
          <w:noProof/>
        </w:rPr>
        <w:t>(Williams et al., 2012)</w:t>
      </w:r>
      <w:r w:rsidR="0036103D">
        <w:rPr>
          <w:rFonts w:ascii="Times New Roman" w:eastAsiaTheme="minorEastAsia" w:hAnsi="Times New Roman" w:cs="Times New Roman"/>
        </w:rPr>
        <w:fldChar w:fldCharType="end"/>
      </w:r>
      <w:r w:rsidR="0036103D">
        <w:rPr>
          <w:rFonts w:ascii="Times New Roman" w:eastAsiaTheme="minorEastAsia" w:hAnsi="Times New Roman" w:cs="Times New Roman"/>
        </w:rPr>
        <w:t xml:space="preserve">. Notably, the home-range of white-tailed deer can vary due to a host of biotic and abiotic factors, however, the SCR index calculation aims to provide a static estimate of connectivity </w:t>
      </w:r>
      <w:r w:rsidR="0036103D">
        <w:rPr>
          <w:rFonts w:ascii="Times New Roman" w:eastAsiaTheme="minorEastAsia" w:hAnsi="Times New Roman" w:cs="Times New Roman"/>
        </w:rPr>
        <w:fldChar w:fldCharType="begin"/>
      </w:r>
      <w:r w:rsidR="0036103D">
        <w:rPr>
          <w:rFonts w:ascii="Times New Roman" w:eastAsiaTheme="minorEastAsia" w:hAnsi="Times New Roman" w:cs="Times New Roman"/>
        </w:rPr>
        <w:instrText xml:space="preserve"> ADDIN ZOTERO_ITEM CSL_CITATION {"citationID":"PkQ57E42","properties":{"formattedCitation":"(Dechen Quinn et al., 2013; Tierson et al., 1985; Whitman et al., 2018)","plainCitation":"(Dechen Quinn et al., 2013; Tierson et al., 1985; Whitman et al., 2018)","noteIndex":0},"citationItems":[{"id":2279,"uris":["http://zotero.org/users/6220652/items/HLDRSAHX"],"itemData":{"id":2279,"type":"article-journal","container-title":"Journal of Mammalogy","DOI":"10.1644/11-MAMM-A-221.1","ISSN":"0022-2372, 1545-1542","issue":"2","journalAbbreviation":"J Mammal","language":"en","page":"398-407","source":"DOI.org (Crossref)","title":"Landscape structure influences space use by white-tailed deer","URL":"https://academic.oup.com/jmammal/article-lookup/doi/10.1644/11-MAMM-A-221.1","volume":"94","author":[{"family":"Dechen Quinn","given":"Amy C."},{"family":"Williams","given":"David M."},{"family":"Porter","given":"William F."}],"accessed":{"date-parts":[["2022",11,9]]},"issued":{"date-parts":[["2013",4,16]]}}},{"id":2262,"uris":["http://zotero.org/users/6220652/items/8YVADMYL"],"itemData":{"id":2262,"type":"article-journal","container-title":"The Journal of Wildlife Management","DOI":"10.2307/3801708","ISSN":"0022541X","issue":"3","journalAbbreviation":"The Journal of Wildlife Management","page":"760","source":"DOI.org (Crossref)","title":"Seasonal Movements and Home Ranges of White-Tailed Deer in the Adirondacks","URL":"https://www.jstor.org/stable/3801708?origin=crossref","volume":"49","author":[{"family":"Tierson","given":"William C."},{"family":"Mattfeld","given":"George F."},{"family":"Sage","given":"Richard W."},{"family":"Behrend","given":"Donald F."}],"accessed":{"date-parts":[["2022",10,21]]},"issued":{"date-parts":[["1985",7]]}}},{"id":2264,"uris":["http://zotero.org/users/6220652/items/VQUIPR4A"],"itemData":{"id":2264,"type":"article-journal","container-title":"Journal of Mammalogy","DOI":"10.1093/jmammal/gyy023","ISSN":"0022-2372, 1545-1542","issue":"3","language":"en","page":"675-683","source":"DOI.org (Crossref)","title":"Movement behavior preceding autumn mortality for white-tailed deer in central New York","URL":"https://academic.oup.com/jmammal/article/99/3/675/4942024","volume":"99","author":[{"family":"Whitman","given":"Brigham J"},{"family":"Porter","given":"W F"},{"family":"Dechen Quinn","given":"Amy C"},{"family":"Williams","given":"David M"},{"family":"Frair","given":"Jacqueline"},{"family":"Underwood","given":"H Brian"},{"family":"Crawford","given":"Joanne C"}],"accessed":{"date-parts":[["2022",10,21]]},"issued":{"date-parts":[["2018",6,1]]}}}],"schema":"https://github.com/citation-style-language/schema/raw/master/csl-citation.json"} </w:instrText>
      </w:r>
      <w:r w:rsidR="0036103D">
        <w:rPr>
          <w:rFonts w:ascii="Times New Roman" w:eastAsiaTheme="minorEastAsia" w:hAnsi="Times New Roman" w:cs="Times New Roman"/>
        </w:rPr>
        <w:fldChar w:fldCharType="separate"/>
      </w:r>
      <w:r w:rsidR="0036103D">
        <w:rPr>
          <w:rFonts w:ascii="Times New Roman" w:eastAsiaTheme="minorEastAsia" w:hAnsi="Times New Roman" w:cs="Times New Roman"/>
          <w:noProof/>
        </w:rPr>
        <w:t>(Dechen Quinn et al., 2013; Tierson et al., 1985; Whitman et al., 2018)</w:t>
      </w:r>
      <w:r w:rsidR="0036103D">
        <w:rPr>
          <w:rFonts w:ascii="Times New Roman" w:eastAsiaTheme="minorEastAsia" w:hAnsi="Times New Roman" w:cs="Times New Roman"/>
        </w:rPr>
        <w:fldChar w:fldCharType="end"/>
      </w:r>
      <w:r w:rsidR="0036103D">
        <w:rPr>
          <w:rFonts w:ascii="Times New Roman" w:eastAsiaTheme="minorEastAsia" w:hAnsi="Times New Roman" w:cs="Times New Roman"/>
        </w:rPr>
        <w:t xml:space="preserve">. </w:t>
      </w:r>
      <w:r w:rsidR="008A3D7F" w:rsidRPr="008A3D7F">
        <w:rPr>
          <w:rFonts w:ascii="Times New Roman" w:eastAsiaTheme="minorEastAsia" w:hAnsi="Times New Roman" w:cs="Times New Roman"/>
        </w:rPr>
        <w:t xml:space="preserve">Land cover classifications </w:t>
      </w:r>
      <w:r w:rsidR="008A3D7F">
        <w:rPr>
          <w:rFonts w:ascii="Times New Roman" w:eastAsiaTheme="minorEastAsia" w:hAnsi="Times New Roman" w:cs="Times New Roman"/>
        </w:rPr>
        <w:t>were used to identify forest patches, and were gathered in</w:t>
      </w:r>
      <w:r w:rsidR="008A3D7F" w:rsidRPr="008A3D7F">
        <w:rPr>
          <w:rFonts w:ascii="Times New Roman" w:eastAsiaTheme="minorEastAsia" w:hAnsi="Times New Roman" w:cs="Times New Roman"/>
        </w:rPr>
        <w:t xml:space="preserve"> the form of raster data from the National Land Cover Database (2019) Land Cover Dataset at 30-meter resolution using the ‘</w:t>
      </w:r>
      <w:proofErr w:type="spellStart"/>
      <w:r w:rsidR="008A3D7F" w:rsidRPr="008A3D7F">
        <w:rPr>
          <w:rFonts w:ascii="Times New Roman" w:eastAsiaTheme="minorEastAsia" w:hAnsi="Times New Roman" w:cs="Times New Roman"/>
        </w:rPr>
        <w:t>FedData</w:t>
      </w:r>
      <w:proofErr w:type="spellEnd"/>
      <w:r w:rsidR="008A3D7F" w:rsidRPr="008A3D7F">
        <w:rPr>
          <w:rFonts w:ascii="Times New Roman" w:eastAsiaTheme="minorEastAsia" w:hAnsi="Times New Roman" w:cs="Times New Roman"/>
        </w:rPr>
        <w:t xml:space="preserve">’ package in R version 4.2.2. </w:t>
      </w:r>
      <w:r w:rsidR="008A3D7F" w:rsidRPr="008A3D7F">
        <w:rPr>
          <w:rFonts w:ascii="Times New Roman" w:eastAsiaTheme="minorEastAsia" w:hAnsi="Times New Roman" w:cs="Times New Roman"/>
        </w:rPr>
        <w:fldChar w:fldCharType="begin"/>
      </w:r>
      <w:r w:rsidR="008A3D7F" w:rsidRPr="008A3D7F">
        <w:rPr>
          <w:rFonts w:ascii="Times New Roman" w:eastAsiaTheme="minorEastAsia" w:hAnsi="Times New Roman" w:cs="Times New Roman"/>
        </w:rPr>
        <w:instrText xml:space="preserve"> ADDIN ZOTERO_ITEM CSL_CITATION {"citationID":"tw8UlVUI","properties":{"formattedCitation":"(Bocinsky, 2020; Dewitz, 2021; R Core Team, 2022)","plainCitation":"(Bocinsky, 2020; Dewitz, 2021; R Core Team, 2022)","noteIndex":0},"citationItems":[{"id":608,"uris":["http://zotero.org/users/6220652/items/ESUVFCV6"],"itemData":{"id":608,"type":"software","note":"R package version 3.0.0.9000","title":"FedData: Functions to Automate Downloading Geospatial Data Available from Several Federated Data Sources","URL":"https://CRAN.R-project.org/package=FedData","author":[{"family":"Bocinsky","given":"R. Kyle"}],"issued":{"date-parts":[["2020"]]}}},{"id":2595,"uris":["http://zotero.org/users/6220652/items/7GVG33YX"],"itemData":{"id":2595,"type":"dataset","abstract":"The U.S. Geological Survey (USGS), in partnership with several federal agencies, has developed and released five National Land Cover Database (NLCD) products over the past two decades: NLCD 1992, 2001, 2006, 2011, and 2016. The 2016 release saw landcover created for additional years of 2003, 2008, and 2013. These products provide spatially explicit and reliable information on the Nation?s land cover and land cover change. To continue the legacy of NLCD and further establish a long-term monitoring capability for the Nation?s land resources, the USGS has designed a new generation of NLCD products named NLCD 2019. The NLCD 2019 design aims to provide innovative, consistent, and robust methodologies for production of a multi-temporal land cover and land cover change database from 2001 to 2019 at 2-3-year intervals. Comprehensive research was conducted and resulted in developed strategies for NLCD 2019: continued integration between impervious surface and all landcover products with impervious surface being directly mapped as developed classes in the landcover, a streamlined compositing process for assembling and preprocessing based on Landsat imagery and geospatial ancillary datasets; a multi-source integrated training data development and decision-tree based land cover classifications; a temporally, spectrally, and spatially integrated land cover change analysis strategy; a hierarchical theme-based post-classification and integration protocol for generating land cover and change products; a continuous fields biophysical parameters modeling method; and an automated scripted operational system for the NLCD 2019 production. The performance of the developed strategies and methods were tested in twenty composite referenced areas throughout the conterminous U.S. An overall accuracy assessment from the 2016 publication give a 91% overall landcover accuracy, with the developed classes also showing a 91percent accuracy in overall developed. Results from this study confirm the robustness of this comprehensive and highly automated procedure for NLCD 2019 operational mapping. Questions about the NLCD 2019 land cover product can be directed to the NLCD 2019 land cover mapping team at USGS EROS, Sioux Falls, SD (605) 594-6151 or mrlc@usgs.gov. See included spatial metadata for more details.","DOI":"10.5066/P9KZCM54","publisher":"U.S. Geological Survey","source":"DOI.org (Datacite)","title":"National Land Cover Database (NLCD) 2019 Products","URL":"https://www.sciencebase.gov/catalog/item/5f21cef582cef313ed940043","author":[{"family":"Dewitz","given":"Jon"}],"accessed":{"date-parts":[["2024",2,23]]},"issued":{"date-parts":[["2021"]]}}},{"id":2596,"uris":["http://zotero.org/users/6220652/items/48RQZ42M"],"itemData":{"id":2596,"type":"software","event-place":"Vienna, Austria.","publisher":"R Foundation for Statistical Computing","publisher-place":"Vienna, Austria.","title":"R: A language and Environment for Statistical Computing","URL":"https://www.R-project.org/","version":"4.2.2.","author":[{"family":"R Core Team","given":""}],"issued":{"date-parts":[["2022"]]}}}],"schema":"https://github.com/citation-style-language/schema/raw/master/csl-citation.json"} </w:instrText>
      </w:r>
      <w:r w:rsidR="008A3D7F" w:rsidRPr="008A3D7F">
        <w:rPr>
          <w:rFonts w:ascii="Times New Roman" w:eastAsiaTheme="minorEastAsia" w:hAnsi="Times New Roman" w:cs="Times New Roman"/>
        </w:rPr>
        <w:fldChar w:fldCharType="separate"/>
      </w:r>
      <w:r w:rsidR="008A3D7F" w:rsidRPr="008A3D7F">
        <w:rPr>
          <w:rFonts w:ascii="Times New Roman" w:eastAsiaTheme="minorEastAsia" w:hAnsi="Times New Roman" w:cs="Times New Roman"/>
          <w:noProof/>
        </w:rPr>
        <w:t>(Bocinsky, 2020; Dewitz, 2021; R Core Team, 2022)</w:t>
      </w:r>
      <w:r w:rsidR="008A3D7F" w:rsidRPr="008A3D7F">
        <w:rPr>
          <w:rFonts w:ascii="Times New Roman" w:eastAsiaTheme="minorEastAsia" w:hAnsi="Times New Roman" w:cs="Times New Roman"/>
        </w:rPr>
        <w:fldChar w:fldCharType="end"/>
      </w:r>
      <w:r w:rsidR="008A3D7F" w:rsidRPr="008A3D7F">
        <w:rPr>
          <w:rFonts w:ascii="Times New Roman" w:eastAsiaTheme="minorEastAsia" w:hAnsi="Times New Roman" w:cs="Times New Roman"/>
        </w:rPr>
        <w:t>. Land cover classes of “deciduous forest,” “evergreen forest”, and “mixed forest” were recategorized as a single forest class</w:t>
      </w:r>
      <w:r w:rsidR="008A3D7F">
        <w:rPr>
          <w:rFonts w:ascii="Times New Roman" w:eastAsiaTheme="minorEastAsia" w:hAnsi="Times New Roman" w:cs="Times New Roman"/>
        </w:rPr>
        <w:t>, and</w:t>
      </w:r>
      <w:r w:rsidR="005D718E">
        <w:rPr>
          <w:rFonts w:ascii="Times New Roman" w:eastAsiaTheme="minorEastAsia" w:hAnsi="Times New Roman" w:cs="Times New Roman"/>
        </w:rPr>
        <w:t xml:space="preserve"> disjoint</w:t>
      </w:r>
      <w:r w:rsidR="008A3D7F" w:rsidRPr="008A3D7F">
        <w:rPr>
          <w:rFonts w:ascii="Times New Roman" w:eastAsiaTheme="minorEastAsia" w:hAnsi="Times New Roman" w:cs="Times New Roman"/>
        </w:rPr>
        <w:t xml:space="preserve"> forest patches were then identified using the `</w:t>
      </w:r>
      <w:proofErr w:type="spellStart"/>
      <w:r w:rsidR="008A3D7F" w:rsidRPr="008A3D7F">
        <w:rPr>
          <w:rFonts w:ascii="Times New Roman" w:eastAsiaTheme="minorEastAsia" w:hAnsi="Times New Roman" w:cs="Times New Roman"/>
        </w:rPr>
        <w:t>landscapemetrics</w:t>
      </w:r>
      <w:proofErr w:type="spellEnd"/>
      <w:r w:rsidR="008A3D7F" w:rsidRPr="008A3D7F">
        <w:rPr>
          <w:rFonts w:ascii="Times New Roman" w:eastAsiaTheme="minorEastAsia" w:hAnsi="Times New Roman" w:cs="Times New Roman"/>
        </w:rPr>
        <w:t xml:space="preserve">` package in R using rook’s adjacency rules </w:t>
      </w:r>
      <w:r w:rsidR="008A3D7F" w:rsidRPr="008A3D7F">
        <w:rPr>
          <w:rFonts w:ascii="Times New Roman" w:eastAsiaTheme="minorEastAsia" w:hAnsi="Times New Roman" w:cs="Times New Roman"/>
        </w:rPr>
        <w:fldChar w:fldCharType="begin"/>
      </w:r>
      <w:r w:rsidR="00F33112">
        <w:rPr>
          <w:rFonts w:ascii="Times New Roman" w:eastAsiaTheme="minorEastAsia" w:hAnsi="Times New Roman" w:cs="Times New Roman"/>
        </w:rPr>
        <w:instrText xml:space="preserve"> ADDIN ZOTERO_ITEM CSL_CITATION {"citationID":"Yc5XBATu","properties":{"formattedCitation":"(Hesselbarth et al., 2019)","plainCitation":"(Hesselbarth et al., 2019)","noteIndex":0},"citationItems":[{"id":2182,"uris":["http://zotero.org/users/6220652/items/L9CQ53XN"],"itemData":{"id":2182,"type":"article-journal","container-title":"Ecography","DOI":"10.1111/ecog.04617","ISSN":"0906-7590, 1600-0587","issue":"10","journalAbbreviation":"Ecography","language":"en","page":"1648-1657","source":"DOI.org (Crossref)","title":"&lt;i&gt;landscapemetrics&lt;/i&gt; : an open‐source &lt;i&gt;R&lt;/i&gt; tool to calculate landscape metrics","title-short":"&lt;i&gt;landscapemetrics&lt;/i&gt;","URL":"https://onlinelibrary.wiley.com/doi/10.1111/ecog.04617","volume":"42","author":[{"family":"Hesselbarth","given":"Maximilian H. K."},{"family":"Sciaini","given":"Marco"},{"family":"With","given":"Kimberly A."},{"family":"Wiegand","given":"Kerstin"},{"family":"Nowosad","given":"Jakub"}],"accessed":{"date-parts":[["2022",8,11]]},"issued":{"date-parts":[["2019",10]]}}}],"schema":"https://github.com/citation-style-language/schema/raw/master/csl-citation.json"} </w:instrText>
      </w:r>
      <w:r w:rsidR="008A3D7F" w:rsidRPr="008A3D7F">
        <w:rPr>
          <w:rFonts w:ascii="Times New Roman" w:eastAsiaTheme="minorEastAsia" w:hAnsi="Times New Roman" w:cs="Times New Roman"/>
        </w:rPr>
        <w:fldChar w:fldCharType="separate"/>
      </w:r>
      <w:r w:rsidR="008A3D7F" w:rsidRPr="008A3D7F">
        <w:rPr>
          <w:rFonts w:ascii="Times New Roman" w:eastAsiaTheme="minorEastAsia" w:hAnsi="Times New Roman" w:cs="Times New Roman"/>
          <w:noProof/>
        </w:rPr>
        <w:t>(Hesselbarth et al., 2019)</w:t>
      </w:r>
      <w:r w:rsidR="008A3D7F" w:rsidRPr="008A3D7F">
        <w:rPr>
          <w:rFonts w:ascii="Times New Roman" w:eastAsiaTheme="minorEastAsia" w:hAnsi="Times New Roman" w:cs="Times New Roman"/>
        </w:rPr>
        <w:fldChar w:fldCharType="end"/>
      </w:r>
      <w:r w:rsidR="008A3D7F" w:rsidRPr="008A3D7F">
        <w:rPr>
          <w:rFonts w:ascii="Times New Roman" w:eastAsiaTheme="minorEastAsia" w:hAnsi="Times New Roman" w:cs="Times New Roman"/>
        </w:rPr>
        <w:t xml:space="preserve">. </w:t>
      </w:r>
      <w:r w:rsidR="006D7CA6">
        <w:rPr>
          <w:rFonts w:ascii="Times New Roman" w:eastAsiaTheme="minorEastAsia" w:hAnsi="Times New Roman" w:cs="Times New Roman"/>
        </w:rPr>
        <w:t xml:space="preserve">Both 30m and 60m forest patches were removed from the calculation to improve computation times and because patches of </w:t>
      </w:r>
      <w:r w:rsidR="00D94C88">
        <w:rPr>
          <w:rFonts w:ascii="Times New Roman" w:eastAsiaTheme="minorEastAsia" w:hAnsi="Times New Roman" w:cs="Times New Roman"/>
        </w:rPr>
        <w:t>this</w:t>
      </w:r>
      <w:r w:rsidR="006D7CA6">
        <w:rPr>
          <w:rFonts w:ascii="Times New Roman" w:eastAsiaTheme="minorEastAsia" w:hAnsi="Times New Roman" w:cs="Times New Roman"/>
        </w:rPr>
        <w:t xml:space="preserve"> size do not noticeably affect the values for SCR (O’Connor et al, in review). </w:t>
      </w:r>
      <w:r w:rsidR="005D718E">
        <w:rPr>
          <w:rFonts w:ascii="Times New Roman" w:eastAsiaTheme="minorEastAsia" w:hAnsi="Times New Roman" w:cs="Times New Roman"/>
        </w:rPr>
        <w:t xml:space="preserve">Collection sites were then matched to </w:t>
      </w:r>
      <w:r w:rsidR="006D7CA6">
        <w:rPr>
          <w:rFonts w:ascii="Times New Roman" w:eastAsiaTheme="minorEastAsia" w:hAnsi="Times New Roman" w:cs="Times New Roman"/>
        </w:rPr>
        <w:t xml:space="preserve">the WMU they reside in, and to </w:t>
      </w:r>
      <w:r w:rsidR="005D718E">
        <w:rPr>
          <w:rFonts w:ascii="Times New Roman" w:eastAsiaTheme="minorEastAsia" w:hAnsi="Times New Roman" w:cs="Times New Roman"/>
        </w:rPr>
        <w:t xml:space="preserve">the nearest forest patch with a patch area greater than or equal to the mean of all forest patches in the dataset. This process ensured that focal forest patches in the </w:t>
      </w:r>
      <w:r w:rsidR="006D7CA6">
        <w:rPr>
          <w:rFonts w:ascii="Times New Roman" w:eastAsiaTheme="minorEastAsia" w:hAnsi="Times New Roman" w:cs="Times New Roman"/>
        </w:rPr>
        <w:t xml:space="preserve">patch-level </w:t>
      </w:r>
      <w:r w:rsidR="005D718E">
        <w:rPr>
          <w:rFonts w:ascii="Times New Roman" w:eastAsiaTheme="minorEastAsia" w:hAnsi="Times New Roman" w:cs="Times New Roman"/>
        </w:rPr>
        <w:t xml:space="preserve">SCR index calculation matched the forested areas where collections took place, rather than small, disjointed patches present in the data. The resistance-raster used in the SCR index was </w:t>
      </w:r>
      <w:r w:rsidR="00F33112">
        <w:rPr>
          <w:rFonts w:ascii="Times New Roman" w:eastAsiaTheme="minorEastAsia" w:hAnsi="Times New Roman" w:cs="Times New Roman"/>
        </w:rPr>
        <w:t xml:space="preserve">calculated from land cover classifications, roadway data, and alpine region data at 30-meter resolution. Land cover classifications were gathered from the </w:t>
      </w:r>
      <w:r w:rsidR="005D718E" w:rsidRPr="005D718E">
        <w:rPr>
          <w:rFonts w:ascii="Times New Roman" w:eastAsiaTheme="minorEastAsia" w:hAnsi="Times New Roman" w:cs="Times New Roman"/>
        </w:rPr>
        <w:t xml:space="preserve">National Land </w:t>
      </w:r>
      <w:r w:rsidR="005D718E" w:rsidRPr="005D718E">
        <w:rPr>
          <w:rFonts w:ascii="Times New Roman" w:eastAsiaTheme="minorEastAsia" w:hAnsi="Times New Roman" w:cs="Times New Roman"/>
        </w:rPr>
        <w:lastRenderedPageBreak/>
        <w:t xml:space="preserve">Cover Database (2019) Land Cover Dataset, </w:t>
      </w:r>
      <w:r w:rsidR="00F33112">
        <w:rPr>
          <w:rFonts w:ascii="Times New Roman" w:eastAsiaTheme="minorEastAsia" w:hAnsi="Times New Roman" w:cs="Times New Roman"/>
        </w:rPr>
        <w:t xml:space="preserve">as described. </w:t>
      </w:r>
      <w:r w:rsidR="005D718E" w:rsidRPr="005D718E">
        <w:rPr>
          <w:rFonts w:ascii="Times New Roman" w:eastAsiaTheme="minorEastAsia" w:hAnsi="Times New Roman" w:cs="Times New Roman"/>
        </w:rPr>
        <w:t xml:space="preserve">NYS roadways were gathered as vector data from the 2020 NYS Roadway Inventory System Data via NYS ArcGIS Clearinghouse. Shapefiles for alpine regions in NYS were gathered from the Environmental Protection Agency’s Ecoregion shapefiles. </w:t>
      </w:r>
      <w:r w:rsidR="00D94C88">
        <w:rPr>
          <w:rFonts w:ascii="Times New Roman" w:eastAsiaTheme="minorEastAsia" w:hAnsi="Times New Roman" w:cs="Times New Roman"/>
        </w:rPr>
        <w:t xml:space="preserve">WMU shapefiles were gathered from the NYS Department of Environmental Conservation (DEC). </w:t>
      </w:r>
      <w:r w:rsidR="005D718E" w:rsidRPr="005D718E">
        <w:rPr>
          <w:rFonts w:ascii="Times New Roman" w:eastAsiaTheme="minorEastAsia" w:hAnsi="Times New Roman" w:cs="Times New Roman"/>
        </w:rPr>
        <w:t xml:space="preserve">Roadway and alpine region vector data were resampled to raster data at 30-meter resolution to match the NLCD 2019 Land Cover Dataset. </w:t>
      </w:r>
      <w:r w:rsidR="00F33112">
        <w:rPr>
          <w:rFonts w:ascii="Times New Roman" w:eastAsiaTheme="minorEastAsia" w:hAnsi="Times New Roman" w:cs="Times New Roman"/>
        </w:rPr>
        <w:t xml:space="preserve">Resistance values for each data source were assigned according to values used in the literature </w:t>
      </w:r>
      <w:r w:rsidR="00F33112">
        <w:rPr>
          <w:rFonts w:ascii="Times New Roman" w:eastAsiaTheme="minorEastAsia" w:hAnsi="Times New Roman" w:cs="Times New Roman"/>
        </w:rPr>
        <w:fldChar w:fldCharType="begin"/>
      </w:r>
      <w:r w:rsidR="00F33112">
        <w:rPr>
          <w:rFonts w:ascii="Times New Roman" w:eastAsiaTheme="minorEastAsia" w:hAnsi="Times New Roman" w:cs="Times New Roman"/>
        </w:rPr>
        <w:instrText xml:space="preserve"> ADDIN ZOTERO_ITEM CSL_CITATION {"citationID":"PTTASaLM","properties":{"formattedCitation":"(Girardet et al., 2015; Gurrutxaga et al., 2011; VanAcker et al., 2019)","plainCitation":"(Girardet et al., 2015; Gurrutxaga et al., 2011; VanAcker et al., 2019)","noteIndex":0},"citationItems":[{"id":2118,"uris":["http://zotero.org/users/6220652/items/N47AGMME"],"itemData":{"id":2118,"type":"article-journal","container-title":"European Journal of Wildlife Research","DOI":"10.1007/s10344-015-0950-4","ISSN":"1612-4642, 1439-0574","issue":"5","journalAbbreviation":"Eur J Wildl Res","language":"en","page":"731-742","source":"DOI.org (Crossref)","title":"Does regional landscape connectivity influence the location of roe deer roadkill hotspots?","URL":"http://link.springer.com/10.1007/s10344-015-0950-4","volume":"61","author":[{"family":"Girardet","given":"Xavier"},{"family":"Conruyt-Rogeon","given":"Géraldine"},{"family":"Foltête","given":"Jean-Christophe"}],"accessed":{"date-parts":[["2022",7,13]]},"issued":{"date-parts":[["2015",10]]}}},{"id":2330,"uris":["http://zotero.org/users/6220652/items/5EY7Q9QA"],"itemData":{"id":2330,"type":"article-journal","container-title":"Landscape and Urban Planning","DOI":"10.1016/j.landurbplan.2011.02.036","ISSN":"01692046","issue":"4","journalAbbreviation":"Landscape and Urban Planning","language":"en","page":"310-320","source":"DOI.org (Crossref)","title":"Key connectors in protected forest area networks and the impact of highways: A transnational case study from the Cantabrian Range to the Western Alps (SW Europe)","title-short":"Key connectors in protected forest area networks and the impact of highways","URL":"https://linkinghub.elsevier.com/retrieve/pii/S0169204611001022","volume":"101","author":[{"family":"Gurrutxaga","given":"Mikel"},{"family":"Rubio","given":"Lidón"},{"family":"Saura","given":"Santiago"}],"accessed":{"date-parts":[["2023",2,18]]},"issued":{"date-parts":[["2011",6]]}}},{"id":2084,"uris":["http://zotero.org/users/6220652/items/PLQ8UHN3"],"itemData":{"id":2084,"type":"article-journal","container-title":"Emerging Infectious Diseases","DOI":"10.3201/eid2506.181741","ISSN":"1080-6040, 1080-6059","issue":"6","journalAbbreviation":"Emerg. Infect. Dis.","page":"1136-1143","source":"DOI.org (Crossref)","title":"Enhancement of Risk for Lyme Disease by Landscape Connectivity, New York, New York, USA","URL":"http://wwwnc.cdc.gov/eid/article/25/6/18-1741_article.htm","volume":"25","author":[{"family":"VanAcker","given":"Meredith C."},{"family":"Little","given":"Eliza A.H."},{"family":"Molaei","given":"Goudarz"},{"family":"Bajwa","given":"Waheed I."},{"family":"Diuk-Wasser","given":"Maria A."}],"accessed":{"date-parts":[["2022",7,1]]},"issued":{"date-parts":[["2019",6]]}}}],"schema":"https://github.com/citation-style-language/schema/raw/master/csl-citation.json"} </w:instrText>
      </w:r>
      <w:r w:rsidR="00F33112">
        <w:rPr>
          <w:rFonts w:ascii="Times New Roman" w:eastAsiaTheme="minorEastAsia" w:hAnsi="Times New Roman" w:cs="Times New Roman"/>
        </w:rPr>
        <w:fldChar w:fldCharType="separate"/>
      </w:r>
      <w:r w:rsidR="00F33112">
        <w:rPr>
          <w:rFonts w:ascii="Times New Roman" w:eastAsiaTheme="minorEastAsia" w:hAnsi="Times New Roman" w:cs="Times New Roman"/>
          <w:noProof/>
        </w:rPr>
        <w:t>(Girardet et al., 2015; Gurrutxaga et al., 2011; VanAcker et al., 2019)</w:t>
      </w:r>
      <w:r w:rsidR="00F33112">
        <w:rPr>
          <w:rFonts w:ascii="Times New Roman" w:eastAsiaTheme="minorEastAsia" w:hAnsi="Times New Roman" w:cs="Times New Roman"/>
        </w:rPr>
        <w:fldChar w:fldCharType="end"/>
      </w:r>
      <w:r w:rsidR="00F33112">
        <w:rPr>
          <w:rFonts w:ascii="Times New Roman" w:eastAsiaTheme="minorEastAsia" w:hAnsi="Times New Roman" w:cs="Times New Roman"/>
        </w:rPr>
        <w:t xml:space="preserve">. When values for the same land cover classification were different, an average </w:t>
      </w:r>
      <w:r w:rsidR="00F33112" w:rsidRPr="0036103D">
        <w:rPr>
          <w:rFonts w:ascii="Times New Roman" w:eastAsiaTheme="minorEastAsia" w:hAnsi="Times New Roman" w:cs="Times New Roman"/>
        </w:rPr>
        <w:t xml:space="preserve">was used. </w:t>
      </w:r>
      <w:r w:rsidR="005D718E" w:rsidRPr="0036103D">
        <w:rPr>
          <w:rFonts w:ascii="Times New Roman" w:eastAsiaTheme="minorEastAsia" w:hAnsi="Times New Roman" w:cs="Times New Roman"/>
        </w:rPr>
        <w:t xml:space="preserve">Resistance values were then summed to generate final resistance values. Resistance raster values, calculations and data sources are shown in </w:t>
      </w:r>
      <w:r w:rsidR="00F33112" w:rsidRPr="0036103D">
        <w:rPr>
          <w:rFonts w:ascii="Times New Roman" w:eastAsiaTheme="minorEastAsia" w:hAnsi="Times New Roman" w:cs="Times New Roman"/>
        </w:rPr>
        <w:t>Supplementary Table</w:t>
      </w:r>
      <w:r w:rsidR="005D718E" w:rsidRPr="0036103D">
        <w:rPr>
          <w:rFonts w:ascii="Times New Roman" w:eastAsiaTheme="minorEastAsia" w:hAnsi="Times New Roman" w:cs="Times New Roman"/>
        </w:rPr>
        <w:t xml:space="preserve"> 1. All operations on raster data were performed using the “terra” package in R</w:t>
      </w:r>
      <w:r w:rsidR="00F33112" w:rsidRPr="0036103D">
        <w:rPr>
          <w:rFonts w:ascii="Times New Roman" w:eastAsiaTheme="minorEastAsia" w:hAnsi="Times New Roman" w:cs="Times New Roman"/>
        </w:rPr>
        <w:t>.</w:t>
      </w:r>
      <w:r w:rsidR="0036103D" w:rsidRPr="0036103D">
        <w:rPr>
          <w:rFonts w:ascii="Times New Roman" w:eastAsiaTheme="minorEastAsia" w:hAnsi="Times New Roman" w:cs="Times New Roman"/>
        </w:rPr>
        <w:t xml:space="preserve"> Least-cost-paths between adjacency pairs were calculated from the resistance raster using the ‘</w:t>
      </w:r>
      <w:proofErr w:type="spellStart"/>
      <w:r w:rsidR="0036103D" w:rsidRPr="0036103D">
        <w:rPr>
          <w:rFonts w:ascii="Times New Roman" w:eastAsiaTheme="minorEastAsia" w:hAnsi="Times New Roman" w:cs="Times New Roman"/>
        </w:rPr>
        <w:t>leastcostpath</w:t>
      </w:r>
      <w:proofErr w:type="spellEnd"/>
      <w:r w:rsidR="0036103D" w:rsidRPr="0036103D">
        <w:rPr>
          <w:rFonts w:ascii="Times New Roman" w:eastAsiaTheme="minorEastAsia" w:hAnsi="Times New Roman" w:cs="Times New Roman"/>
        </w:rPr>
        <w:t xml:space="preserve">’ package in R </w:t>
      </w:r>
      <w:r w:rsidR="0036103D" w:rsidRPr="0036103D">
        <w:rPr>
          <w:rFonts w:ascii="Times New Roman" w:eastAsiaTheme="minorEastAsia" w:hAnsi="Times New Roman" w:cs="Times New Roman"/>
        </w:rPr>
        <w:fldChar w:fldCharType="begin"/>
      </w:r>
      <w:r w:rsidR="0036103D" w:rsidRPr="0036103D">
        <w:rPr>
          <w:rFonts w:ascii="Times New Roman" w:eastAsiaTheme="minorEastAsia" w:hAnsi="Times New Roman" w:cs="Times New Roman"/>
        </w:rPr>
        <w:instrText xml:space="preserve"> ADDIN ZOTERO_ITEM CSL_CITATION {"citationID":"2qQQZ0EK","properties":{"formattedCitation":"(Lewis, 2023)","plainCitation":"(Lewis, 2023)","noteIndex":0},"citationItems":[{"id":2405,"uris":["http://zotero.org/users/6220652/items/BAUYMXLW"],"itemData":{"id":2405,"type":"software","title":"leastcostpath: Modelling Pathways and Movement Potential Within a Landscape","URL":"https://github.com/josephlewis/leastcostpath","version":"2.0.11","author":[{"family":"Lewis","given":"Joseph"}],"issued":{"date-parts":[["2023"]]}}}],"schema":"https://github.com/citation-style-language/schema/raw/master/csl-citation.json"} </w:instrText>
      </w:r>
      <w:r w:rsidR="0036103D" w:rsidRPr="0036103D">
        <w:rPr>
          <w:rFonts w:ascii="Times New Roman" w:eastAsiaTheme="minorEastAsia" w:hAnsi="Times New Roman" w:cs="Times New Roman"/>
        </w:rPr>
        <w:fldChar w:fldCharType="separate"/>
      </w:r>
      <w:r w:rsidR="0036103D" w:rsidRPr="0036103D">
        <w:rPr>
          <w:rFonts w:ascii="Times New Roman" w:eastAsiaTheme="minorEastAsia" w:hAnsi="Times New Roman" w:cs="Times New Roman"/>
          <w:noProof/>
        </w:rPr>
        <w:t>(Lewis, 2023)</w:t>
      </w:r>
      <w:r w:rsidR="0036103D" w:rsidRPr="0036103D">
        <w:rPr>
          <w:rFonts w:ascii="Times New Roman" w:eastAsiaTheme="minorEastAsia" w:hAnsi="Times New Roman" w:cs="Times New Roman"/>
        </w:rPr>
        <w:fldChar w:fldCharType="end"/>
      </w:r>
      <w:r w:rsidR="0036103D" w:rsidRPr="0036103D">
        <w:rPr>
          <w:rFonts w:ascii="Times New Roman" w:eastAsiaTheme="minorEastAsia" w:hAnsi="Times New Roman" w:cs="Times New Roman"/>
        </w:rPr>
        <w:t>. All calculations were performed using the University at Buffalo’s High Performance Computing Cluster.</w:t>
      </w:r>
    </w:p>
    <w:p w14:paraId="71393D6B" w14:textId="77777777" w:rsidR="005D718E" w:rsidRDefault="005D718E" w:rsidP="008A3D7F">
      <w:pPr>
        <w:spacing w:line="480" w:lineRule="auto"/>
        <w:rPr>
          <w:rFonts w:ascii="Times New Roman" w:eastAsiaTheme="minorEastAsia" w:hAnsi="Times New Roman" w:cs="Times New Roman"/>
        </w:rPr>
      </w:pPr>
    </w:p>
    <w:p w14:paraId="26521F0F" w14:textId="6DFCA201" w:rsidR="00331E06" w:rsidRDefault="00FA6240" w:rsidP="00DA2A29">
      <w:pPr>
        <w:spacing w:line="480" w:lineRule="auto"/>
        <w:rPr>
          <w:rFonts w:ascii="Times New Roman" w:hAnsi="Times New Roman" w:cs="Times New Roman"/>
          <w:i/>
          <w:iCs/>
        </w:rPr>
      </w:pPr>
      <w:r>
        <w:rPr>
          <w:rFonts w:ascii="Times New Roman" w:hAnsi="Times New Roman" w:cs="Times New Roman"/>
          <w:i/>
          <w:iCs/>
        </w:rPr>
        <w:t>Statistical analysis</w:t>
      </w:r>
    </w:p>
    <w:p w14:paraId="22C3C965" w14:textId="5C126F8C" w:rsidR="00847A43" w:rsidRPr="00442BD2" w:rsidRDefault="0036103D" w:rsidP="00DA2A29">
      <w:pPr>
        <w:spacing w:line="480" w:lineRule="auto"/>
        <w:rPr>
          <w:rFonts w:ascii="Times New Roman" w:hAnsi="Times New Roman" w:cs="Times New Roman"/>
        </w:rPr>
      </w:pPr>
      <w:r>
        <w:rPr>
          <w:rFonts w:ascii="Times New Roman" w:hAnsi="Times New Roman" w:cs="Times New Roman"/>
        </w:rPr>
        <w:tab/>
      </w:r>
      <w:r w:rsidR="00D94C88">
        <w:rPr>
          <w:rFonts w:ascii="Times New Roman" w:hAnsi="Times New Roman" w:cs="Times New Roman"/>
        </w:rPr>
        <w:t xml:space="preserve">Statistical modeling was performed to estimate the relationship between white-tailed deer functional connectivity and the pathogen prevalence of both Ap-ha and Ap-v1 </w:t>
      </w:r>
      <w:r w:rsidR="00D94C88">
        <w:rPr>
          <w:rFonts w:ascii="Times New Roman" w:hAnsi="Times New Roman" w:cs="Times New Roman"/>
          <w:i/>
          <w:iCs/>
        </w:rPr>
        <w:t xml:space="preserve">A. phagocytophilum </w:t>
      </w:r>
      <w:r w:rsidR="00D94C88">
        <w:rPr>
          <w:rFonts w:ascii="Times New Roman" w:hAnsi="Times New Roman" w:cs="Times New Roman"/>
        </w:rPr>
        <w:t xml:space="preserve">within field-collected </w:t>
      </w:r>
      <w:r w:rsidR="00D94C88">
        <w:rPr>
          <w:rFonts w:ascii="Times New Roman" w:hAnsi="Times New Roman" w:cs="Times New Roman"/>
          <w:i/>
          <w:iCs/>
        </w:rPr>
        <w:t xml:space="preserve">I. scapularis </w:t>
      </w:r>
      <w:r w:rsidR="00D94C88">
        <w:rPr>
          <w:rFonts w:ascii="Times New Roman" w:hAnsi="Times New Roman" w:cs="Times New Roman"/>
        </w:rPr>
        <w:t xml:space="preserve">populations in NYS. </w:t>
      </w:r>
      <w:r w:rsidR="00847A43">
        <w:rPr>
          <w:rFonts w:ascii="Times New Roman" w:hAnsi="Times New Roman" w:cs="Times New Roman"/>
        </w:rPr>
        <w:t>Separate models were built for all combinations of</w:t>
      </w:r>
      <w:r w:rsidR="00D94C88">
        <w:rPr>
          <w:rFonts w:ascii="Times New Roman" w:hAnsi="Times New Roman" w:cs="Times New Roman"/>
        </w:rPr>
        <w:t xml:space="preserve"> </w:t>
      </w:r>
      <w:r w:rsidR="00847A43">
        <w:rPr>
          <w:rFonts w:ascii="Times New Roman" w:hAnsi="Times New Roman" w:cs="Times New Roman"/>
        </w:rPr>
        <w:t xml:space="preserve">dependent variables of Ap-ha and Ap-v1 prevalence, independent variables of patch and landscape-level SCR, for each of the field </w:t>
      </w:r>
      <w:r w:rsidR="00D94C88">
        <w:rPr>
          <w:rFonts w:ascii="Times New Roman" w:hAnsi="Times New Roman" w:cs="Times New Roman"/>
        </w:rPr>
        <w:t xml:space="preserve">collected nymphal and adult </w:t>
      </w:r>
      <w:r w:rsidR="00D94C88">
        <w:rPr>
          <w:rFonts w:ascii="Times New Roman" w:hAnsi="Times New Roman" w:cs="Times New Roman"/>
          <w:i/>
          <w:iCs/>
        </w:rPr>
        <w:t xml:space="preserve">I. scapularis </w:t>
      </w:r>
      <w:r w:rsidR="00847A43">
        <w:rPr>
          <w:rFonts w:ascii="Times New Roman" w:hAnsi="Times New Roman" w:cs="Times New Roman"/>
        </w:rPr>
        <w:t xml:space="preserve">data, resulting in eight final models. Models were built using the following process: </w:t>
      </w:r>
      <w:r w:rsidR="00442BD2">
        <w:rPr>
          <w:rFonts w:ascii="Times New Roman" w:hAnsi="Times New Roman" w:cs="Times New Roman"/>
        </w:rPr>
        <w:t xml:space="preserve">First, zero-inflated Poisson </w:t>
      </w:r>
      <w:r w:rsidR="008339E0">
        <w:rPr>
          <w:rFonts w:ascii="Times New Roman" w:hAnsi="Times New Roman" w:cs="Times New Roman"/>
        </w:rPr>
        <w:t xml:space="preserve">(ZIP) </w:t>
      </w:r>
      <w:r w:rsidR="00442BD2">
        <w:rPr>
          <w:rFonts w:ascii="Times New Roman" w:hAnsi="Times New Roman" w:cs="Times New Roman"/>
        </w:rPr>
        <w:t>models with site-level random effe</w:t>
      </w:r>
      <w:r w:rsidR="008339E0">
        <w:rPr>
          <w:rFonts w:ascii="Times New Roman" w:hAnsi="Times New Roman" w:cs="Times New Roman"/>
        </w:rPr>
        <w:t>c</w:t>
      </w:r>
      <w:r w:rsidR="00442BD2">
        <w:rPr>
          <w:rFonts w:ascii="Times New Roman" w:hAnsi="Times New Roman" w:cs="Times New Roman"/>
        </w:rPr>
        <w:t>t</w:t>
      </w:r>
      <w:r w:rsidR="008339E0">
        <w:rPr>
          <w:rFonts w:ascii="Times New Roman" w:hAnsi="Times New Roman" w:cs="Times New Roman"/>
        </w:rPr>
        <w:t>s</w:t>
      </w:r>
      <w:r w:rsidR="00442BD2">
        <w:rPr>
          <w:rFonts w:ascii="Times New Roman" w:hAnsi="Times New Roman" w:cs="Times New Roman"/>
        </w:rPr>
        <w:t xml:space="preserve"> were built </w:t>
      </w:r>
      <w:r w:rsidR="00E31A21">
        <w:rPr>
          <w:rFonts w:ascii="Times New Roman" w:hAnsi="Times New Roman" w:cs="Times New Roman"/>
        </w:rPr>
        <w:t xml:space="preserve">using the </w:t>
      </w:r>
      <w:r w:rsidR="00E31A21">
        <w:rPr>
          <w:rFonts w:ascii="Times New Roman" w:hAnsi="Times New Roman" w:cs="Times New Roman"/>
        </w:rPr>
        <w:lastRenderedPageBreak/>
        <w:t>`</w:t>
      </w:r>
      <w:proofErr w:type="spellStart"/>
      <w:r w:rsidR="00E31A21">
        <w:rPr>
          <w:rFonts w:ascii="Times New Roman" w:hAnsi="Times New Roman" w:cs="Times New Roman"/>
        </w:rPr>
        <w:t>glmmTMB</w:t>
      </w:r>
      <w:proofErr w:type="spellEnd"/>
      <w:r w:rsidR="00E31A21">
        <w:rPr>
          <w:rFonts w:ascii="Times New Roman" w:hAnsi="Times New Roman" w:cs="Times New Roman"/>
        </w:rPr>
        <w:t xml:space="preserve">` package in R </w:t>
      </w:r>
      <w:r w:rsidR="00E31A21">
        <w:rPr>
          <w:rFonts w:ascii="Times New Roman" w:hAnsi="Times New Roman" w:cs="Times New Roman"/>
        </w:rPr>
        <w:fldChar w:fldCharType="begin"/>
      </w:r>
      <w:r w:rsidR="00E31A21">
        <w:rPr>
          <w:rFonts w:ascii="Times New Roman" w:hAnsi="Times New Roman" w:cs="Times New Roman"/>
        </w:rPr>
        <w:instrText xml:space="preserve"> ADDIN ZOTERO_ITEM CSL_CITATION {"citationID":"cgY9RsMP","properties":{"formattedCitation":"(Brooks et al., 2017)","plainCitation":"(Brooks et al., 2017)","noteIndex":0},"citationItems":[{"id":1486,"uris":["http://zotero.org/users/6220652/items/U6A7G38G"],"itemData":{"id":1486,"type":"article-journal","container-title":"The R Journal","DOI":"10.32614/RJ-2017-066","ISSN":"2073-4859","issue":"2","journalAbbreviation":"The R Journal","language":"en","page":"378","source":"DOI.org (Crossref)","title":"glmmTMB Balances Speed and Flexibility Among Packages for Zero-inflated Generalized Linear Mixed Modeling","URL":"https://journal.r-project.org/archive/2017/RJ-2017-066/index.html","volume":"9","author":[{"family":"Brooks","given":"Mollie","suffix":"E."},{"family":"Kristensen","given":"Kasper"},{"family":"Benthem","given":"Koen","suffix":"J.,van"},{"family":"Magnusson","given":"Arni"},{"family":"Berg","given":"Casper","suffix":"W."},{"family":"Nielsen","given":"Anders"},{"family":"Skaug","given":"Hans","suffix":"J."},{"family":"Mächler","given":"Martin"},{"family":"Bolker","given":"Benjamin","suffix":"M."}],"accessed":{"date-parts":[["2021",10,8]]},"issued":{"date-parts":[["2017"]]}}}],"schema":"https://github.com/citation-style-language/schema/raw/master/csl-citation.json"} </w:instrText>
      </w:r>
      <w:r w:rsidR="00E31A21">
        <w:rPr>
          <w:rFonts w:ascii="Times New Roman" w:hAnsi="Times New Roman" w:cs="Times New Roman"/>
        </w:rPr>
        <w:fldChar w:fldCharType="separate"/>
      </w:r>
      <w:r w:rsidR="00E31A21">
        <w:rPr>
          <w:rFonts w:ascii="Times New Roman" w:hAnsi="Times New Roman" w:cs="Times New Roman"/>
          <w:noProof/>
        </w:rPr>
        <w:t>(Brooks et al., 2017)</w:t>
      </w:r>
      <w:r w:rsidR="00E31A21">
        <w:rPr>
          <w:rFonts w:ascii="Times New Roman" w:hAnsi="Times New Roman" w:cs="Times New Roman"/>
        </w:rPr>
        <w:fldChar w:fldCharType="end"/>
      </w:r>
      <w:r w:rsidR="00E31A21">
        <w:rPr>
          <w:rFonts w:ascii="Times New Roman" w:hAnsi="Times New Roman" w:cs="Times New Roman"/>
        </w:rPr>
        <w:t>. ZIP models used</w:t>
      </w:r>
      <w:r w:rsidR="00442BD2">
        <w:rPr>
          <w:rFonts w:ascii="Times New Roman" w:hAnsi="Times New Roman" w:cs="Times New Roman"/>
        </w:rPr>
        <w:t xml:space="preserve"> counts of Ap-ha or Ap-v1 infected </w:t>
      </w:r>
      <w:r w:rsidR="00442BD2">
        <w:rPr>
          <w:rFonts w:ascii="Times New Roman" w:hAnsi="Times New Roman" w:cs="Times New Roman"/>
          <w:i/>
          <w:iCs/>
        </w:rPr>
        <w:t xml:space="preserve">I. scapularis </w:t>
      </w:r>
      <w:r w:rsidR="00442BD2">
        <w:rPr>
          <w:rFonts w:ascii="Times New Roman" w:hAnsi="Times New Roman" w:cs="Times New Roman"/>
        </w:rPr>
        <w:t>as the dependent variable, patch or landscape-level SCR as the independent variable</w:t>
      </w:r>
      <w:r w:rsidR="00E31A21">
        <w:rPr>
          <w:rFonts w:ascii="Times New Roman" w:hAnsi="Times New Roman" w:cs="Times New Roman"/>
        </w:rPr>
        <w:t xml:space="preserve">, and a </w:t>
      </w:r>
      <w:r w:rsidR="00442BD2">
        <w:rPr>
          <w:rFonts w:ascii="Times New Roman" w:hAnsi="Times New Roman" w:cs="Times New Roman"/>
        </w:rPr>
        <w:t xml:space="preserve">log-transformed count of the total number of ticks tested as an offset. </w:t>
      </w:r>
      <w:r w:rsidR="008339E0">
        <w:rPr>
          <w:rFonts w:ascii="Times New Roman" w:hAnsi="Times New Roman" w:cs="Times New Roman"/>
        </w:rPr>
        <w:t xml:space="preserve">The residuals of each </w:t>
      </w:r>
      <w:r w:rsidR="002958FE">
        <w:rPr>
          <w:rFonts w:ascii="Times New Roman" w:hAnsi="Times New Roman" w:cs="Times New Roman"/>
        </w:rPr>
        <w:t>m</w:t>
      </w:r>
      <w:r w:rsidR="008339E0">
        <w:rPr>
          <w:rFonts w:ascii="Times New Roman" w:hAnsi="Times New Roman" w:cs="Times New Roman"/>
        </w:rPr>
        <w:t>odel were tested for spatial autocorrelation using Moran’s I (</w:t>
      </w:r>
      <m:oMath>
        <m:r>
          <w:rPr>
            <w:rFonts w:ascii="Cambria Math" w:hAnsi="Cambria Math" w:cs="Times New Roman"/>
          </w:rPr>
          <m:t>α</m:t>
        </m:r>
      </m:oMath>
      <w:r w:rsidR="008339E0">
        <w:rPr>
          <w:rFonts w:ascii="Times New Roman" w:eastAsiaTheme="minorEastAsia" w:hAnsi="Times New Roman" w:cs="Times New Roman"/>
        </w:rPr>
        <w:t xml:space="preserve"> = 0.05) </w:t>
      </w:r>
      <w:r w:rsidR="00A53339">
        <w:rPr>
          <w:rFonts w:ascii="Times New Roman" w:eastAsiaTheme="minorEastAsia" w:hAnsi="Times New Roman" w:cs="Times New Roman"/>
        </w:rPr>
        <w:t>via the `</w:t>
      </w:r>
      <w:proofErr w:type="spellStart"/>
      <w:r w:rsidR="00A53339">
        <w:rPr>
          <w:rFonts w:ascii="Times New Roman" w:eastAsiaTheme="minorEastAsia" w:hAnsi="Times New Roman" w:cs="Times New Roman"/>
        </w:rPr>
        <w:t>moranfast</w:t>
      </w:r>
      <w:proofErr w:type="spellEnd"/>
      <w:r w:rsidR="00A53339">
        <w:rPr>
          <w:rFonts w:ascii="Times New Roman" w:eastAsiaTheme="minorEastAsia" w:hAnsi="Times New Roman" w:cs="Times New Roman"/>
        </w:rPr>
        <w:t xml:space="preserve">` package in R </w:t>
      </w:r>
      <w:r w:rsidR="002958FE">
        <w:rPr>
          <w:rFonts w:ascii="Times New Roman" w:eastAsiaTheme="minorEastAsia" w:hAnsi="Times New Roman" w:cs="Times New Roman"/>
        </w:rPr>
        <w:fldChar w:fldCharType="begin"/>
      </w:r>
      <w:r w:rsidR="00A53339">
        <w:rPr>
          <w:rFonts w:ascii="Times New Roman" w:eastAsiaTheme="minorEastAsia" w:hAnsi="Times New Roman" w:cs="Times New Roman"/>
        </w:rPr>
        <w:instrText xml:space="preserve"> ADDIN ZOTERO_ITEM CSL_CITATION {"citationID":"xYRTzm6W","properties":{"formattedCitation":"(Cooper, 2020; Moran, 1950)","plainCitation":"(Cooper, 2020; Moran, 1950)","noteIndex":0},"citationItems":[{"id":2684,"uris":["http://zotero.org/users/6220652/items/Z69CWQQG"],"itemData":{"id":2684,"type":"software","title":"moranfast: Conduct a Quick and Memory-Efficient Moran's I Test","version":"1.0","author":[{"family":"Cooper","given":"Matthew"}],"issued":{"date-parts":[["2020"]]}}},{"id":731,"uris":["http://zotero.org/users/6220652/items/ZYSRWSWC"],"itemData":{"id":731,"type":"article-journal","container-title":"Biometrika","DOI":"10.2307/2332142","ISSN":"00063444","issue":"1/2","journalAbbreviation":"Biometrika","page":"17","source":"DOI.org (Crossref)","title":"Notes on Continuous Stochastic Phenomena","URL":"https://www.jstor.org/stable/2332142?origin=crossref","volume":"37","author":[{"family":"Moran","given":"P. A. P."}],"accessed":{"date-parts":[["2021",1,25]]},"issued":{"date-parts":[["1950",6]]}}}],"schema":"https://github.com/citation-style-language/schema/raw/master/csl-citation.json"} </w:instrText>
      </w:r>
      <w:r w:rsidR="002958FE">
        <w:rPr>
          <w:rFonts w:ascii="Times New Roman" w:eastAsiaTheme="minorEastAsia" w:hAnsi="Times New Roman" w:cs="Times New Roman"/>
        </w:rPr>
        <w:fldChar w:fldCharType="separate"/>
      </w:r>
      <w:r w:rsidR="00A53339">
        <w:rPr>
          <w:rFonts w:ascii="Times New Roman" w:eastAsiaTheme="minorEastAsia" w:hAnsi="Times New Roman" w:cs="Times New Roman"/>
          <w:noProof/>
        </w:rPr>
        <w:t>(Cooper, 2020; Moran, 1950)</w:t>
      </w:r>
      <w:r w:rsidR="002958FE">
        <w:rPr>
          <w:rFonts w:ascii="Times New Roman" w:eastAsiaTheme="minorEastAsia" w:hAnsi="Times New Roman" w:cs="Times New Roman"/>
        </w:rPr>
        <w:fldChar w:fldCharType="end"/>
      </w:r>
      <w:r w:rsidR="002958FE">
        <w:rPr>
          <w:rFonts w:ascii="Times New Roman" w:eastAsiaTheme="minorEastAsia" w:hAnsi="Times New Roman" w:cs="Times New Roman"/>
        </w:rPr>
        <w:t>. If residual spatial autocorrelation was present, spatial models were built using ZIP generalized additive models (GAMs) with site-level random effects and a spline of the interaction between latitude and longitude values of collection sites.</w:t>
      </w:r>
      <w:r w:rsidR="00E31A21">
        <w:rPr>
          <w:rFonts w:ascii="Times New Roman" w:eastAsiaTheme="minorEastAsia" w:hAnsi="Times New Roman" w:cs="Times New Roman"/>
        </w:rPr>
        <w:t xml:space="preserve"> GAMs were built using the `</w:t>
      </w:r>
      <w:proofErr w:type="spellStart"/>
      <w:r w:rsidR="00E31A21">
        <w:rPr>
          <w:rFonts w:ascii="Times New Roman" w:eastAsiaTheme="minorEastAsia" w:hAnsi="Times New Roman" w:cs="Times New Roman"/>
        </w:rPr>
        <w:t>mgcv</w:t>
      </w:r>
      <w:proofErr w:type="spellEnd"/>
      <w:r w:rsidR="00E31A21">
        <w:rPr>
          <w:rFonts w:ascii="Times New Roman" w:eastAsiaTheme="minorEastAsia" w:hAnsi="Times New Roman" w:cs="Times New Roman"/>
        </w:rPr>
        <w:t xml:space="preserve">` package in R </w:t>
      </w:r>
      <w:r w:rsidR="00E31A21">
        <w:rPr>
          <w:rFonts w:ascii="Times New Roman" w:eastAsiaTheme="minorEastAsia" w:hAnsi="Times New Roman" w:cs="Times New Roman"/>
        </w:rPr>
        <w:fldChar w:fldCharType="begin"/>
      </w:r>
      <w:r w:rsidR="00E31A21">
        <w:rPr>
          <w:rFonts w:ascii="Times New Roman" w:eastAsiaTheme="minorEastAsia" w:hAnsi="Times New Roman" w:cs="Times New Roman"/>
        </w:rPr>
        <w:instrText xml:space="preserve"> ADDIN ZOTERO_ITEM CSL_CITATION {"citationID":"t0xQDYyQ","properties":{"formattedCitation":"(Wood, 2011)","plainCitation":"(Wood, 2011)","noteIndex":0},"citationItems":[{"id":2610,"uris":["http://zotero.org/users/6220652/items/5GXUZXUG"],"itemData":{"id":2610,"type":"article-journal","abstract":"Summary\n            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selection.","container-title":"Journal of the Royal Statistical Society Series B: Statistical Methodology","DOI":"10.1111/j.1467-9868.2010.00749.x","ISSN":"1369-7412, 1467-9868","issue":"1","language":"en","page":"3-36","source":"DOI.org (Crossref)","title":"Fast Stable Restricted Maximum Likelihood and Marginal Likelihood Estimation of Semiparametric Generalized Linear Models","URL":"https://academic.oup.com/jrsssb/article/73/1/3/7034726","volume":"73","author":[{"family":"Wood","given":"Simon N."}],"accessed":{"date-parts":[["2024",3,12]]},"issued":{"date-parts":[["2011",1,1]]}}}],"schema":"https://github.com/citation-style-language/schema/raw/master/csl-citation.json"} </w:instrText>
      </w:r>
      <w:r w:rsidR="00E31A21">
        <w:rPr>
          <w:rFonts w:ascii="Times New Roman" w:eastAsiaTheme="minorEastAsia" w:hAnsi="Times New Roman" w:cs="Times New Roman"/>
        </w:rPr>
        <w:fldChar w:fldCharType="separate"/>
      </w:r>
      <w:r w:rsidR="00E31A21">
        <w:rPr>
          <w:rFonts w:ascii="Times New Roman" w:eastAsiaTheme="minorEastAsia" w:hAnsi="Times New Roman" w:cs="Times New Roman"/>
          <w:noProof/>
        </w:rPr>
        <w:t>(Wood, 2011)</w:t>
      </w:r>
      <w:r w:rsidR="00E31A21">
        <w:rPr>
          <w:rFonts w:ascii="Times New Roman" w:eastAsiaTheme="minorEastAsia" w:hAnsi="Times New Roman" w:cs="Times New Roman"/>
        </w:rPr>
        <w:fldChar w:fldCharType="end"/>
      </w:r>
      <w:r w:rsidR="00E31A21">
        <w:rPr>
          <w:rFonts w:ascii="Times New Roman" w:eastAsiaTheme="minorEastAsia" w:hAnsi="Times New Roman" w:cs="Times New Roman"/>
        </w:rPr>
        <w:t>. Final models were then selected by comparing AIC between aspatial and spatial models.</w:t>
      </w:r>
    </w:p>
    <w:p w14:paraId="21EF5E9D" w14:textId="77777777" w:rsidR="00E31A21" w:rsidRDefault="00E31A21" w:rsidP="00DA2A29">
      <w:pPr>
        <w:spacing w:line="480" w:lineRule="auto"/>
        <w:rPr>
          <w:rFonts w:ascii="Times New Roman" w:hAnsi="Times New Roman" w:cs="Times New Roman"/>
        </w:rPr>
      </w:pPr>
    </w:p>
    <w:p w14:paraId="2F29785E" w14:textId="3E7B7975" w:rsidR="00310780" w:rsidRDefault="006C642D" w:rsidP="00DA2A29">
      <w:pPr>
        <w:spacing w:line="480" w:lineRule="auto"/>
        <w:rPr>
          <w:rFonts w:ascii="Times New Roman" w:hAnsi="Times New Roman" w:cs="Times New Roman"/>
          <w:b/>
          <w:bCs/>
        </w:rPr>
      </w:pPr>
      <w:r>
        <w:rPr>
          <w:rFonts w:ascii="Times New Roman" w:hAnsi="Times New Roman" w:cs="Times New Roman"/>
          <w:b/>
          <w:bCs/>
        </w:rPr>
        <w:t>Results:</w:t>
      </w:r>
    </w:p>
    <w:p w14:paraId="6D30B4F7" w14:textId="00239AF1" w:rsidR="00C951BB" w:rsidRPr="00C951BB" w:rsidRDefault="00C951BB" w:rsidP="00DA2A29">
      <w:pPr>
        <w:spacing w:line="480" w:lineRule="auto"/>
        <w:rPr>
          <w:rFonts w:ascii="Times New Roman" w:hAnsi="Times New Roman" w:cs="Times New Roman"/>
        </w:rPr>
      </w:pPr>
      <w:r>
        <w:rPr>
          <w:rFonts w:ascii="Times New Roman" w:hAnsi="Times New Roman" w:cs="Times New Roman"/>
          <w:i/>
          <w:iCs/>
        </w:rPr>
        <w:t>Tick sampling and pathogen testing</w:t>
      </w:r>
    </w:p>
    <w:p w14:paraId="398B7E29" w14:textId="4E5E559B" w:rsidR="0036103D" w:rsidRPr="0059628F" w:rsidRDefault="0036103D" w:rsidP="0036103D">
      <w:pPr>
        <w:spacing w:line="480" w:lineRule="auto"/>
        <w:ind w:firstLine="720"/>
        <w:rPr>
          <w:rFonts w:ascii="Times New Roman" w:hAnsi="Times New Roman" w:cs="Times New Roman"/>
        </w:rPr>
      </w:pPr>
      <w:r>
        <w:rPr>
          <w:rFonts w:ascii="Times New Roman" w:hAnsi="Times New Roman" w:cs="Times New Roman"/>
        </w:rPr>
        <w:t>Of the 834 sampling sites visited, 48</w:t>
      </w:r>
      <w:r w:rsidR="009A07FA">
        <w:rPr>
          <w:rFonts w:ascii="Times New Roman" w:hAnsi="Times New Roman" w:cs="Times New Roman"/>
        </w:rPr>
        <w:t>7</w:t>
      </w:r>
      <w:r>
        <w:rPr>
          <w:rFonts w:ascii="Times New Roman" w:hAnsi="Times New Roman" w:cs="Times New Roman"/>
        </w:rPr>
        <w:t xml:space="preserve"> had at least one tick collected and tested</w:t>
      </w:r>
      <w:r w:rsidR="006F6D34">
        <w:rPr>
          <w:rFonts w:ascii="Times New Roman" w:hAnsi="Times New Roman" w:cs="Times New Roman"/>
        </w:rPr>
        <w:t xml:space="preserve"> for </w:t>
      </w:r>
      <w:r w:rsidR="006F6D34">
        <w:rPr>
          <w:rFonts w:ascii="Times New Roman" w:hAnsi="Times New Roman" w:cs="Times New Roman"/>
          <w:i/>
          <w:iCs/>
        </w:rPr>
        <w:t>A. phagocytophilum</w:t>
      </w:r>
      <w:r w:rsidR="006F6D34">
        <w:rPr>
          <w:rFonts w:ascii="Times New Roman" w:hAnsi="Times New Roman" w:cs="Times New Roman"/>
        </w:rPr>
        <w:t xml:space="preserve"> between </w:t>
      </w:r>
      <w:r w:rsidR="004A4142">
        <w:rPr>
          <w:rFonts w:ascii="Times New Roman" w:hAnsi="Times New Roman" w:cs="Times New Roman"/>
        </w:rPr>
        <w:t>November</w:t>
      </w:r>
      <w:r w:rsidR="006F6D34">
        <w:rPr>
          <w:rFonts w:ascii="Times New Roman" w:hAnsi="Times New Roman" w:cs="Times New Roman"/>
        </w:rPr>
        <w:t xml:space="preserve"> 2007 and April 2024. A total of 149,</w:t>
      </w:r>
      <w:r w:rsidR="00C951BB">
        <w:rPr>
          <w:rFonts w:ascii="Times New Roman" w:hAnsi="Times New Roman" w:cs="Times New Roman"/>
        </w:rPr>
        <w:t>201</w:t>
      </w:r>
      <w:r w:rsidR="006F6D34">
        <w:rPr>
          <w:rFonts w:ascii="Times New Roman" w:hAnsi="Times New Roman" w:cs="Times New Roman"/>
        </w:rPr>
        <w:t xml:space="preserve"> </w:t>
      </w:r>
      <w:r w:rsidR="006F6D34">
        <w:rPr>
          <w:rFonts w:ascii="Times New Roman" w:hAnsi="Times New Roman" w:cs="Times New Roman"/>
          <w:i/>
          <w:iCs/>
        </w:rPr>
        <w:t xml:space="preserve">I. scapularis </w:t>
      </w:r>
      <w:r w:rsidR="006F6D34">
        <w:rPr>
          <w:rFonts w:ascii="Times New Roman" w:hAnsi="Times New Roman" w:cs="Times New Roman"/>
        </w:rPr>
        <w:t>were collected at 3,4</w:t>
      </w:r>
      <w:r w:rsidR="00C951BB">
        <w:rPr>
          <w:rFonts w:ascii="Times New Roman" w:hAnsi="Times New Roman" w:cs="Times New Roman"/>
        </w:rPr>
        <w:t>12</w:t>
      </w:r>
      <w:r w:rsidR="006F6D34">
        <w:rPr>
          <w:rFonts w:ascii="Times New Roman" w:hAnsi="Times New Roman" w:cs="Times New Roman"/>
        </w:rPr>
        <w:t xml:space="preserve"> unique </w:t>
      </w:r>
      <w:r w:rsidR="00C951BB">
        <w:rPr>
          <w:rFonts w:ascii="Times New Roman" w:hAnsi="Times New Roman" w:cs="Times New Roman"/>
        </w:rPr>
        <w:t>sampling</w:t>
      </w:r>
      <w:r w:rsidR="006F6D34">
        <w:rPr>
          <w:rFonts w:ascii="Times New Roman" w:hAnsi="Times New Roman" w:cs="Times New Roman"/>
        </w:rPr>
        <w:t xml:space="preserve"> </w:t>
      </w:r>
      <w:r w:rsidR="00C951BB">
        <w:rPr>
          <w:rFonts w:ascii="Times New Roman" w:hAnsi="Times New Roman" w:cs="Times New Roman"/>
        </w:rPr>
        <w:t>events</w:t>
      </w:r>
      <w:r w:rsidR="006F6D34">
        <w:rPr>
          <w:rFonts w:ascii="Times New Roman" w:hAnsi="Times New Roman" w:cs="Times New Roman"/>
        </w:rPr>
        <w:t xml:space="preserve"> at these sites</w:t>
      </w:r>
      <w:r w:rsidR="00C700AB">
        <w:rPr>
          <w:rFonts w:ascii="Times New Roman" w:hAnsi="Times New Roman" w:cs="Times New Roman"/>
        </w:rPr>
        <w:t xml:space="preserve">, and </w:t>
      </w:r>
      <w:r w:rsidR="006F6D34">
        <w:rPr>
          <w:rFonts w:ascii="Times New Roman" w:hAnsi="Times New Roman" w:cs="Times New Roman"/>
        </w:rPr>
        <w:t>89,9</w:t>
      </w:r>
      <w:r w:rsidR="00C951BB">
        <w:rPr>
          <w:rFonts w:ascii="Times New Roman" w:hAnsi="Times New Roman" w:cs="Times New Roman"/>
        </w:rPr>
        <w:t>21</w:t>
      </w:r>
      <w:r w:rsidR="006F6D34">
        <w:rPr>
          <w:rFonts w:ascii="Times New Roman" w:hAnsi="Times New Roman" w:cs="Times New Roman"/>
        </w:rPr>
        <w:t xml:space="preserve"> (60.3%) of those ticks were tested with the quadplex real-time PCR assay as described.</w:t>
      </w:r>
      <w:r w:rsidR="00C700AB">
        <w:rPr>
          <w:rFonts w:ascii="Times New Roman" w:hAnsi="Times New Roman" w:cs="Times New Roman"/>
        </w:rPr>
        <w:t xml:space="preserve"> </w:t>
      </w:r>
      <w:r w:rsidR="00C951BB">
        <w:rPr>
          <w:rFonts w:ascii="Times New Roman" w:hAnsi="Times New Roman" w:cs="Times New Roman"/>
        </w:rPr>
        <w:t xml:space="preserve">Of the 89,921 tested ticks, 6,126 (6.81%) were positive for </w:t>
      </w:r>
      <w:r w:rsidR="00C951BB">
        <w:rPr>
          <w:rFonts w:ascii="Times New Roman" w:hAnsi="Times New Roman" w:cs="Times New Roman"/>
          <w:i/>
          <w:iCs/>
        </w:rPr>
        <w:t>A. phagocytophilum</w:t>
      </w:r>
      <w:r w:rsidR="00C951BB">
        <w:rPr>
          <w:rFonts w:ascii="Times New Roman" w:hAnsi="Times New Roman" w:cs="Times New Roman"/>
        </w:rPr>
        <w:t xml:space="preserve">, which comprised of 4,143 Ap-ha positive ticks, 1,773 Ap-v1 positive ticks, and 236 ticks of an undetermined </w:t>
      </w:r>
      <w:r w:rsidR="00C951BB">
        <w:rPr>
          <w:rFonts w:ascii="Times New Roman" w:hAnsi="Times New Roman" w:cs="Times New Roman"/>
          <w:i/>
          <w:iCs/>
        </w:rPr>
        <w:t xml:space="preserve">A. phagocytophilum </w:t>
      </w:r>
      <w:r w:rsidR="00C951BB">
        <w:rPr>
          <w:rFonts w:ascii="Times New Roman" w:hAnsi="Times New Roman" w:cs="Times New Roman"/>
        </w:rPr>
        <w:t xml:space="preserve">genotype. Full genotyping results broken down by nymphal and adult </w:t>
      </w:r>
      <w:r w:rsidR="00C951BB">
        <w:rPr>
          <w:rFonts w:ascii="Times New Roman" w:hAnsi="Times New Roman" w:cs="Times New Roman"/>
          <w:i/>
          <w:iCs/>
        </w:rPr>
        <w:t xml:space="preserve">I. scapularis </w:t>
      </w:r>
      <w:r w:rsidR="00C951BB">
        <w:rPr>
          <w:rFonts w:ascii="Times New Roman" w:hAnsi="Times New Roman" w:cs="Times New Roman"/>
        </w:rPr>
        <w:t xml:space="preserve">life stages are presented in Table 1. The prevalence of Ap-ha and Ap-v1 in tested nymphal and adult </w:t>
      </w:r>
      <w:r w:rsidR="00C951BB">
        <w:rPr>
          <w:rFonts w:ascii="Times New Roman" w:hAnsi="Times New Roman" w:cs="Times New Roman"/>
          <w:i/>
          <w:iCs/>
        </w:rPr>
        <w:t xml:space="preserve">I. scapularis </w:t>
      </w:r>
      <w:r w:rsidR="00C951BB">
        <w:rPr>
          <w:rFonts w:ascii="Times New Roman" w:hAnsi="Times New Roman" w:cs="Times New Roman"/>
        </w:rPr>
        <w:t>from 2007 to 2024 are shown in Figure 2.</w:t>
      </w:r>
      <w:r w:rsidR="0059628F">
        <w:rPr>
          <w:rFonts w:ascii="Times New Roman" w:hAnsi="Times New Roman" w:cs="Times New Roman"/>
        </w:rPr>
        <w:t xml:space="preserve"> Collection site level average prevalence of each genotype in nymphal and adult </w:t>
      </w:r>
      <w:r w:rsidR="0059628F">
        <w:rPr>
          <w:rFonts w:ascii="Times New Roman" w:hAnsi="Times New Roman" w:cs="Times New Roman"/>
          <w:i/>
          <w:iCs/>
        </w:rPr>
        <w:t xml:space="preserve">I. scapularis </w:t>
      </w:r>
      <w:r w:rsidR="0059628F">
        <w:rPr>
          <w:rFonts w:ascii="Times New Roman" w:hAnsi="Times New Roman" w:cs="Times New Roman"/>
        </w:rPr>
        <w:t xml:space="preserve">are shown in Figure 3. </w:t>
      </w:r>
    </w:p>
    <w:p w14:paraId="25613054" w14:textId="77777777" w:rsidR="0036103D" w:rsidRDefault="0036103D" w:rsidP="00DA2A29">
      <w:pPr>
        <w:spacing w:line="480" w:lineRule="auto"/>
        <w:rPr>
          <w:rFonts w:ascii="Times New Roman" w:hAnsi="Times New Roman" w:cs="Times New Roman"/>
          <w:b/>
          <w:bCs/>
        </w:rPr>
      </w:pPr>
    </w:p>
    <w:p w14:paraId="202DF58F" w14:textId="463318C0" w:rsidR="00C951BB" w:rsidRDefault="00C951BB" w:rsidP="00DA2A29">
      <w:pPr>
        <w:spacing w:line="480" w:lineRule="auto"/>
        <w:rPr>
          <w:rFonts w:ascii="Times New Roman" w:hAnsi="Times New Roman" w:cs="Times New Roman"/>
          <w:i/>
          <w:iCs/>
        </w:rPr>
      </w:pPr>
      <w:r>
        <w:rPr>
          <w:rFonts w:ascii="Times New Roman" w:hAnsi="Times New Roman" w:cs="Times New Roman"/>
          <w:i/>
          <w:iCs/>
        </w:rPr>
        <w:lastRenderedPageBreak/>
        <w:t>Sinuous Connection Reduction index</w:t>
      </w:r>
    </w:p>
    <w:p w14:paraId="5951F19F" w14:textId="77777777" w:rsidR="00C951BB" w:rsidRPr="00C951BB" w:rsidRDefault="00C951BB" w:rsidP="00DA2A29">
      <w:pPr>
        <w:spacing w:line="480" w:lineRule="auto"/>
        <w:rPr>
          <w:rFonts w:ascii="Times New Roman" w:hAnsi="Times New Roman" w:cs="Times New Roman"/>
        </w:rPr>
      </w:pPr>
    </w:p>
    <w:p w14:paraId="5B48570E" w14:textId="35F9754D" w:rsidR="006C642D" w:rsidRDefault="006C642D" w:rsidP="00DA2A29">
      <w:pPr>
        <w:spacing w:line="480" w:lineRule="auto"/>
        <w:rPr>
          <w:rFonts w:ascii="Times New Roman" w:hAnsi="Times New Roman" w:cs="Times New Roman"/>
          <w:b/>
          <w:bCs/>
        </w:rPr>
      </w:pPr>
      <w:r>
        <w:rPr>
          <w:rFonts w:ascii="Times New Roman" w:hAnsi="Times New Roman" w:cs="Times New Roman"/>
          <w:b/>
          <w:bCs/>
        </w:rPr>
        <w:t>Discussion:</w:t>
      </w:r>
    </w:p>
    <w:p w14:paraId="2A657346" w14:textId="02C40971" w:rsidR="006C642D" w:rsidRDefault="006C642D" w:rsidP="00DA2A29">
      <w:pPr>
        <w:spacing w:line="480" w:lineRule="auto"/>
        <w:rPr>
          <w:rFonts w:ascii="Times New Roman" w:hAnsi="Times New Roman" w:cs="Times New Roman"/>
          <w:b/>
          <w:bCs/>
        </w:rPr>
      </w:pPr>
      <w:r>
        <w:rPr>
          <w:rFonts w:ascii="Times New Roman" w:hAnsi="Times New Roman" w:cs="Times New Roman"/>
          <w:b/>
          <w:bCs/>
        </w:rPr>
        <w:t>Conclusion:</w:t>
      </w:r>
    </w:p>
    <w:p w14:paraId="425D5027" w14:textId="4CD2FCBD" w:rsidR="00310780" w:rsidRDefault="00F12320" w:rsidP="00DA2A29">
      <w:pPr>
        <w:spacing w:line="480" w:lineRule="auto"/>
        <w:rPr>
          <w:rFonts w:ascii="Times New Roman" w:hAnsi="Times New Roman" w:cs="Times New Roman"/>
          <w:b/>
          <w:bCs/>
        </w:rPr>
      </w:pPr>
      <w:commentRangeStart w:id="2"/>
      <w:r>
        <w:rPr>
          <w:rFonts w:ascii="Times New Roman" w:hAnsi="Times New Roman" w:cs="Times New Roman"/>
          <w:b/>
          <w:bCs/>
        </w:rPr>
        <w:t>Author contributions:</w:t>
      </w:r>
      <w:commentRangeEnd w:id="2"/>
      <w:r>
        <w:rPr>
          <w:rStyle w:val="CommentReference"/>
        </w:rPr>
        <w:commentReference w:id="2"/>
      </w:r>
    </w:p>
    <w:p w14:paraId="770C7304" w14:textId="77777777" w:rsidR="009B3C06" w:rsidRPr="009B3C06" w:rsidRDefault="009B3C06" w:rsidP="00DA2A29">
      <w:pPr>
        <w:spacing w:line="480" w:lineRule="auto"/>
        <w:rPr>
          <w:b/>
          <w:bCs/>
        </w:rPr>
      </w:pPr>
    </w:p>
    <w:p w14:paraId="0457EF27" w14:textId="603D53EB" w:rsidR="009049F7" w:rsidRPr="009049F7" w:rsidRDefault="009049F7" w:rsidP="00DA2A29">
      <w:pPr>
        <w:spacing w:line="480" w:lineRule="auto"/>
        <w:rPr>
          <w:rFonts w:ascii="Times New Roman" w:hAnsi="Times New Roman" w:cs="Times New Roman"/>
          <w:b/>
          <w:bCs/>
        </w:rPr>
      </w:pPr>
      <w:commentRangeStart w:id="3"/>
      <w:r w:rsidRPr="009049F7">
        <w:rPr>
          <w:rFonts w:ascii="Times New Roman" w:hAnsi="Times New Roman" w:cs="Times New Roman"/>
          <w:b/>
          <w:bCs/>
        </w:rPr>
        <w:t>Tables and Figures:</w:t>
      </w:r>
      <w:commentRangeEnd w:id="3"/>
      <w:r w:rsidR="006C642D">
        <w:rPr>
          <w:rStyle w:val="CommentReference"/>
        </w:rPr>
        <w:commentReference w:id="3"/>
      </w:r>
    </w:p>
    <w:p w14:paraId="3E3DF100" w14:textId="75D0429E" w:rsidR="009049F7" w:rsidRPr="009049F7" w:rsidRDefault="009049F7" w:rsidP="00DA2A29">
      <w:pPr>
        <w:spacing w:line="480" w:lineRule="auto"/>
        <w:rPr>
          <w:rFonts w:ascii="Times New Roman" w:hAnsi="Times New Roman" w:cs="Times New Roman"/>
        </w:rPr>
      </w:pPr>
    </w:p>
    <w:p w14:paraId="59A72A17" w14:textId="3603521B" w:rsidR="009049F7" w:rsidRDefault="00DA2A29" w:rsidP="00DA2A29">
      <w:pPr>
        <w:spacing w:line="480" w:lineRule="auto"/>
      </w:pPr>
      <w:r>
        <w:rPr>
          <w:noProof/>
        </w:rPr>
        <w:drawing>
          <wp:inline distT="0" distB="0" distL="0" distR="0" wp14:anchorId="3871AB01" wp14:editId="019F24FA">
            <wp:extent cx="3568588" cy="2510974"/>
            <wp:effectExtent l="0" t="0" r="635" b="3810"/>
            <wp:docPr id="1337566129" name="Picture 6" descr="A diagram of a disease ri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66129" name="Picture 6" descr="A diagram of a disease risk&#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89193" cy="2525472"/>
                    </a:xfrm>
                    <a:prstGeom prst="rect">
                      <a:avLst/>
                    </a:prstGeom>
                  </pic:spPr>
                </pic:pic>
              </a:graphicData>
            </a:graphic>
          </wp:inline>
        </w:drawing>
      </w:r>
    </w:p>
    <w:p w14:paraId="24B410CB" w14:textId="41F91C41" w:rsidR="00C951BB" w:rsidRDefault="009049F7" w:rsidP="00DA2A29">
      <w:pPr>
        <w:spacing w:line="480" w:lineRule="auto"/>
        <w:rPr>
          <w:rFonts w:ascii="Times New Roman" w:hAnsi="Times New Roman" w:cs="Times New Roman"/>
        </w:rPr>
      </w:pPr>
      <w:r w:rsidRPr="009049F7">
        <w:rPr>
          <w:rFonts w:ascii="Times New Roman" w:hAnsi="Times New Roman" w:cs="Times New Roman"/>
        </w:rPr>
        <w:t>Figure 1:</w:t>
      </w:r>
      <w:r>
        <w:rPr>
          <w:rFonts w:ascii="Times New Roman" w:hAnsi="Times New Roman" w:cs="Times New Roman"/>
        </w:rPr>
        <w:t xml:space="preserve"> A simplified causal diagram depicting the role of white-tailed deer in </w:t>
      </w:r>
      <w:r w:rsidR="00DA2A29">
        <w:rPr>
          <w:rFonts w:ascii="Times New Roman" w:hAnsi="Times New Roman" w:cs="Times New Roman"/>
        </w:rPr>
        <w:t>th</w:t>
      </w:r>
      <w:r>
        <w:rPr>
          <w:rFonts w:ascii="Times New Roman" w:hAnsi="Times New Roman" w:cs="Times New Roman"/>
        </w:rPr>
        <w:t xml:space="preserve">e Lyme disease </w:t>
      </w:r>
      <w:r w:rsidR="00F244E9">
        <w:rPr>
          <w:rFonts w:ascii="Times New Roman" w:hAnsi="Times New Roman" w:cs="Times New Roman"/>
        </w:rPr>
        <w:t>and Ap-ha</w:t>
      </w:r>
      <w:r w:rsidR="00DA2A29">
        <w:rPr>
          <w:rFonts w:ascii="Times New Roman" w:hAnsi="Times New Roman" w:cs="Times New Roman"/>
        </w:rPr>
        <w:t>/</w:t>
      </w:r>
      <w:r w:rsidR="00F244E9">
        <w:rPr>
          <w:rFonts w:ascii="Times New Roman" w:hAnsi="Times New Roman" w:cs="Times New Roman"/>
        </w:rPr>
        <w:t xml:space="preserve">Ap-V1 </w:t>
      </w:r>
      <w:r w:rsidR="00F244E9">
        <w:rPr>
          <w:rFonts w:ascii="Times New Roman" w:hAnsi="Times New Roman" w:cs="Times New Roman"/>
          <w:i/>
          <w:iCs/>
        </w:rPr>
        <w:t xml:space="preserve">Anaplasma phagocytophilum </w:t>
      </w:r>
      <w:r w:rsidR="00DA2A29">
        <w:rPr>
          <w:rFonts w:ascii="Times New Roman" w:hAnsi="Times New Roman" w:cs="Times New Roman"/>
        </w:rPr>
        <w:t xml:space="preserve">risk </w:t>
      </w:r>
      <w:r w:rsidR="00F244E9">
        <w:rPr>
          <w:rFonts w:ascii="Times New Roman" w:hAnsi="Times New Roman" w:cs="Times New Roman"/>
        </w:rPr>
        <w:t>system</w:t>
      </w:r>
      <w:r w:rsidR="00DA2A29">
        <w:rPr>
          <w:rFonts w:ascii="Times New Roman" w:hAnsi="Times New Roman" w:cs="Times New Roman"/>
        </w:rPr>
        <w:t>s</w:t>
      </w:r>
      <w:r w:rsidR="00F244E9">
        <w:rPr>
          <w:rFonts w:ascii="Times New Roman" w:hAnsi="Times New Roman" w:cs="Times New Roman"/>
        </w:rPr>
        <w:t>.</w:t>
      </w:r>
    </w:p>
    <w:p w14:paraId="0CBDB465" w14:textId="77777777" w:rsidR="00C951BB" w:rsidRDefault="00C951BB">
      <w:pPr>
        <w:rPr>
          <w:rFonts w:ascii="Times New Roman" w:hAnsi="Times New Roman" w:cs="Times New Roman"/>
        </w:rPr>
      </w:pPr>
      <w:r>
        <w:rPr>
          <w:rFonts w:ascii="Times New Roman" w:hAnsi="Times New Roman" w:cs="Times New Roman"/>
        </w:rPr>
        <w:br w:type="page"/>
      </w:r>
    </w:p>
    <w:p w14:paraId="4156B17C" w14:textId="7864932C" w:rsidR="00C951BB" w:rsidRDefault="0059628F" w:rsidP="00DA2A29">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456EFD04" wp14:editId="2BD51279">
            <wp:extent cx="5943600" cy="2935605"/>
            <wp:effectExtent l="0" t="0" r="0" b="0"/>
            <wp:docPr id="1054985135" name="Picture 8" descr="A graph of growth in different ti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85135" name="Picture 8" descr="A graph of growth in different tim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35605"/>
                    </a:xfrm>
                    <a:prstGeom prst="rect">
                      <a:avLst/>
                    </a:prstGeom>
                  </pic:spPr>
                </pic:pic>
              </a:graphicData>
            </a:graphic>
          </wp:inline>
        </w:drawing>
      </w:r>
    </w:p>
    <w:p w14:paraId="732C6670" w14:textId="7FDDB2B4" w:rsidR="006D4A39" w:rsidRDefault="00C951BB" w:rsidP="00C951BB">
      <w:pPr>
        <w:spacing w:line="480" w:lineRule="auto"/>
        <w:rPr>
          <w:rFonts w:ascii="Times New Roman" w:hAnsi="Times New Roman" w:cs="Times New Roman"/>
        </w:rPr>
      </w:pPr>
      <w:r>
        <w:rPr>
          <w:rFonts w:ascii="Times New Roman" w:hAnsi="Times New Roman" w:cs="Times New Roman"/>
        </w:rPr>
        <w:t xml:space="preserve">Figure 2:  The prevalence of Ap-ha and Ap-v1 </w:t>
      </w:r>
      <w:r>
        <w:rPr>
          <w:rFonts w:ascii="Times New Roman" w:hAnsi="Times New Roman" w:cs="Times New Roman"/>
          <w:i/>
          <w:iCs/>
        </w:rPr>
        <w:t xml:space="preserve">A. phagocytophilum </w:t>
      </w:r>
      <w:r>
        <w:rPr>
          <w:rFonts w:ascii="Times New Roman" w:hAnsi="Times New Roman" w:cs="Times New Roman"/>
        </w:rPr>
        <w:t xml:space="preserve">in nymphal and adult </w:t>
      </w:r>
      <w:r>
        <w:rPr>
          <w:rFonts w:ascii="Times New Roman" w:hAnsi="Times New Roman" w:cs="Times New Roman"/>
          <w:i/>
          <w:iCs/>
        </w:rPr>
        <w:t xml:space="preserve">I. scapularis </w:t>
      </w:r>
      <w:r>
        <w:rPr>
          <w:rFonts w:ascii="Times New Roman" w:hAnsi="Times New Roman" w:cs="Times New Roman"/>
        </w:rPr>
        <w:t xml:space="preserve">populations for each sampling event from 2007 to 2024. If 50 or greater ticks were tested, true prevalence is shown. If fewer than 50 ticks were tested, the prevalence was weighted by dividing the total positive ticks by 50 and multiplying this number by the true prevalence. </w:t>
      </w:r>
      <w:r w:rsidR="0059628F">
        <w:rPr>
          <w:rFonts w:ascii="Times New Roman" w:hAnsi="Times New Roman" w:cs="Times New Roman"/>
        </w:rPr>
        <w:t>Red</w:t>
      </w:r>
      <w:r>
        <w:rPr>
          <w:rFonts w:ascii="Times New Roman" w:hAnsi="Times New Roman" w:cs="Times New Roman"/>
        </w:rPr>
        <w:t xml:space="preserve"> and </w:t>
      </w:r>
      <w:r w:rsidR="0059628F">
        <w:rPr>
          <w:rFonts w:ascii="Times New Roman" w:hAnsi="Times New Roman" w:cs="Times New Roman"/>
        </w:rPr>
        <w:t>blue</w:t>
      </w:r>
      <w:r>
        <w:rPr>
          <w:rFonts w:ascii="Times New Roman" w:hAnsi="Times New Roman" w:cs="Times New Roman"/>
        </w:rPr>
        <w:t xml:space="preserve"> lines depict smoothed prevalences using a Generalized Additive Model.</w:t>
      </w:r>
    </w:p>
    <w:p w14:paraId="2EE385B3" w14:textId="77777777" w:rsidR="006D4A39" w:rsidRDefault="006D4A39">
      <w:pPr>
        <w:rPr>
          <w:rFonts w:ascii="Times New Roman" w:hAnsi="Times New Roman" w:cs="Times New Roman"/>
        </w:rPr>
      </w:pPr>
      <w:r>
        <w:rPr>
          <w:rFonts w:ascii="Times New Roman" w:hAnsi="Times New Roman" w:cs="Times New Roman"/>
        </w:rPr>
        <w:br w:type="page"/>
      </w:r>
    </w:p>
    <w:p w14:paraId="1D2A94B0" w14:textId="66AD96BB" w:rsidR="006D4A39" w:rsidRDefault="0059628F" w:rsidP="00C951BB">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2C7C7A52" wp14:editId="1343D1D2">
            <wp:extent cx="5943600" cy="5943600"/>
            <wp:effectExtent l="0" t="0" r="0" b="0"/>
            <wp:docPr id="389871535" name="Picture 7" descr="A map of the state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71535" name="Picture 7" descr="A map of the states with different colored dot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45AE383" w14:textId="77777777" w:rsidR="000173F7" w:rsidRDefault="006D4A39" w:rsidP="00C951BB">
      <w:pPr>
        <w:spacing w:line="480" w:lineRule="auto"/>
        <w:rPr>
          <w:rFonts w:ascii="Times New Roman" w:hAnsi="Times New Roman" w:cs="Times New Roman"/>
        </w:rPr>
      </w:pPr>
      <w:r>
        <w:rPr>
          <w:rFonts w:ascii="Times New Roman" w:hAnsi="Times New Roman" w:cs="Times New Roman"/>
        </w:rPr>
        <w:t>Figure 3:</w:t>
      </w:r>
      <w:r w:rsidR="0059628F">
        <w:rPr>
          <w:rFonts w:ascii="Times New Roman" w:hAnsi="Times New Roman" w:cs="Times New Roman"/>
        </w:rPr>
        <w:t xml:space="preserve"> Average site-level</w:t>
      </w:r>
      <w:r w:rsidR="0059628F">
        <w:rPr>
          <w:rFonts w:ascii="Times New Roman" w:hAnsi="Times New Roman" w:cs="Times New Roman"/>
        </w:rPr>
        <w:t xml:space="preserve"> </w:t>
      </w:r>
      <w:r w:rsidR="0059628F">
        <w:rPr>
          <w:rFonts w:ascii="Times New Roman" w:hAnsi="Times New Roman" w:cs="Times New Roman"/>
        </w:rPr>
        <w:t xml:space="preserve">weighted </w:t>
      </w:r>
      <w:r w:rsidR="0059628F">
        <w:rPr>
          <w:rFonts w:ascii="Times New Roman" w:hAnsi="Times New Roman" w:cs="Times New Roman"/>
        </w:rPr>
        <w:t xml:space="preserve">prevalence of Ap-ha and Ap-v1 </w:t>
      </w:r>
      <w:r w:rsidR="0059628F">
        <w:rPr>
          <w:rFonts w:ascii="Times New Roman" w:hAnsi="Times New Roman" w:cs="Times New Roman"/>
          <w:i/>
          <w:iCs/>
        </w:rPr>
        <w:t xml:space="preserve">A. phagocytophilum </w:t>
      </w:r>
      <w:r w:rsidR="0059628F">
        <w:rPr>
          <w:rFonts w:ascii="Times New Roman" w:hAnsi="Times New Roman" w:cs="Times New Roman"/>
        </w:rPr>
        <w:t xml:space="preserve">in nymphal and adult </w:t>
      </w:r>
      <w:r w:rsidR="0059628F">
        <w:rPr>
          <w:rFonts w:ascii="Times New Roman" w:hAnsi="Times New Roman" w:cs="Times New Roman"/>
          <w:i/>
          <w:iCs/>
        </w:rPr>
        <w:t xml:space="preserve">I. scapularis </w:t>
      </w:r>
      <w:r w:rsidR="0059628F">
        <w:rPr>
          <w:rFonts w:ascii="Times New Roman" w:hAnsi="Times New Roman" w:cs="Times New Roman"/>
        </w:rPr>
        <w:t xml:space="preserve">populations from 2007 to 2024. If 50 or greater ticks were tested, true prevalence </w:t>
      </w:r>
      <w:r w:rsidR="0059628F">
        <w:rPr>
          <w:rFonts w:ascii="Times New Roman" w:hAnsi="Times New Roman" w:cs="Times New Roman"/>
        </w:rPr>
        <w:t>was used in the average calculation</w:t>
      </w:r>
      <w:r w:rsidR="0059628F">
        <w:rPr>
          <w:rFonts w:ascii="Times New Roman" w:hAnsi="Times New Roman" w:cs="Times New Roman"/>
        </w:rPr>
        <w:t>. If fewer than 50 ticks were tested, the prevalence was weighted by dividing the total positive ticks by 50 and multiplying this number by the true prevalence.</w:t>
      </w:r>
    </w:p>
    <w:p w14:paraId="23B021BD" w14:textId="77777777" w:rsidR="000173F7" w:rsidRDefault="000173F7">
      <w:pPr>
        <w:rPr>
          <w:rFonts w:ascii="Times New Roman" w:hAnsi="Times New Roman" w:cs="Times New Roman"/>
        </w:rPr>
      </w:pPr>
      <w:r>
        <w:rPr>
          <w:rFonts w:ascii="Times New Roman" w:hAnsi="Times New Roman" w:cs="Times New Roman"/>
        </w:rPr>
        <w:br w:type="page"/>
      </w:r>
    </w:p>
    <w:p w14:paraId="2CF0E475" w14:textId="3491DCB9" w:rsidR="000173F7" w:rsidRDefault="00A55946" w:rsidP="00C951BB">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5ACD802B" wp14:editId="71152610">
            <wp:extent cx="5943600" cy="5943600"/>
            <wp:effectExtent l="0" t="0" r="0" b="0"/>
            <wp:docPr id="125923331" name="Picture 10" descr="A map of new york state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3331" name="Picture 10" descr="A map of new york state with different colored do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804D7BF" w14:textId="5E7935D8" w:rsidR="00C951BB" w:rsidRPr="00C951BB" w:rsidRDefault="000173F7" w:rsidP="00C951BB">
      <w:pPr>
        <w:spacing w:line="480" w:lineRule="auto"/>
        <w:rPr>
          <w:rFonts w:ascii="Times New Roman" w:hAnsi="Times New Roman" w:cs="Times New Roman"/>
        </w:rPr>
      </w:pPr>
      <w:r>
        <w:rPr>
          <w:rFonts w:ascii="Times New Roman" w:hAnsi="Times New Roman" w:cs="Times New Roman"/>
        </w:rPr>
        <w:t>Figure 4:</w:t>
      </w:r>
      <w:r w:rsidR="00A55946">
        <w:rPr>
          <w:rFonts w:ascii="Times New Roman" w:hAnsi="Times New Roman" w:cs="Times New Roman"/>
        </w:rPr>
        <w:t xml:space="preserve"> Patch-level Sinuous Connection Reduction (SCR) values for sampling sites with at least one </w:t>
      </w:r>
      <w:r w:rsidR="00A55946">
        <w:rPr>
          <w:rFonts w:ascii="Times New Roman" w:hAnsi="Times New Roman" w:cs="Times New Roman"/>
          <w:i/>
          <w:iCs/>
        </w:rPr>
        <w:t xml:space="preserve">I. scapularis </w:t>
      </w:r>
      <w:r w:rsidR="00A55946">
        <w:rPr>
          <w:rFonts w:ascii="Times New Roman" w:hAnsi="Times New Roman" w:cs="Times New Roman"/>
        </w:rPr>
        <w:t xml:space="preserve">tested for </w:t>
      </w:r>
      <w:r w:rsidR="00A55946">
        <w:rPr>
          <w:rFonts w:ascii="Times New Roman" w:hAnsi="Times New Roman" w:cs="Times New Roman"/>
          <w:i/>
          <w:iCs/>
        </w:rPr>
        <w:t>A. phagocytophilum</w:t>
      </w:r>
      <w:r w:rsidR="00A55946">
        <w:rPr>
          <w:rFonts w:ascii="Times New Roman" w:hAnsi="Times New Roman" w:cs="Times New Roman"/>
        </w:rPr>
        <w:t xml:space="preserve"> (Upper) and landscape-level SCR values for Wildlife Management Units with at least one sampling site (Lower). Histogram of patch-level SCR is presented in legend of upper panel. Sampling sites from upper panel are shown as black dots in lower panel.</w:t>
      </w:r>
      <w:r w:rsidR="00C951BB">
        <w:rPr>
          <w:rFonts w:ascii="Times New Roman" w:hAnsi="Times New Roman" w:cs="Times New Roman"/>
        </w:rPr>
        <w:br w:type="page"/>
      </w:r>
    </w:p>
    <w:tbl>
      <w:tblPr>
        <w:tblW w:w="7470" w:type="dxa"/>
        <w:tblLook w:val="04A0" w:firstRow="1" w:lastRow="0" w:firstColumn="1" w:lastColumn="0" w:noHBand="0" w:noVBand="1"/>
      </w:tblPr>
      <w:tblGrid>
        <w:gridCol w:w="460"/>
        <w:gridCol w:w="2520"/>
        <w:gridCol w:w="2040"/>
        <w:gridCol w:w="2450"/>
      </w:tblGrid>
      <w:tr w:rsidR="00C951BB" w:rsidRPr="00C951BB" w14:paraId="401BE678" w14:textId="77777777" w:rsidTr="00C951BB">
        <w:trPr>
          <w:trHeight w:val="340"/>
        </w:trPr>
        <w:tc>
          <w:tcPr>
            <w:tcW w:w="460" w:type="dxa"/>
            <w:tcBorders>
              <w:top w:val="nil"/>
              <w:left w:val="nil"/>
              <w:bottom w:val="double" w:sz="6" w:space="0" w:color="auto"/>
              <w:right w:val="nil"/>
            </w:tcBorders>
            <w:shd w:val="clear" w:color="000000" w:fill="FFFFFF"/>
            <w:noWrap/>
            <w:vAlign w:val="bottom"/>
            <w:hideMark/>
          </w:tcPr>
          <w:p w14:paraId="68A8CBDA"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lastRenderedPageBreak/>
              <w:t> </w:t>
            </w:r>
          </w:p>
        </w:tc>
        <w:tc>
          <w:tcPr>
            <w:tcW w:w="2520" w:type="dxa"/>
            <w:tcBorders>
              <w:top w:val="nil"/>
              <w:left w:val="nil"/>
              <w:bottom w:val="double" w:sz="6" w:space="0" w:color="auto"/>
              <w:right w:val="nil"/>
            </w:tcBorders>
            <w:shd w:val="clear" w:color="000000" w:fill="FFFFFF"/>
            <w:noWrap/>
            <w:vAlign w:val="bottom"/>
            <w:hideMark/>
          </w:tcPr>
          <w:p w14:paraId="2EA16707"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040" w:type="dxa"/>
            <w:tcBorders>
              <w:top w:val="nil"/>
              <w:left w:val="nil"/>
              <w:bottom w:val="double" w:sz="6" w:space="0" w:color="auto"/>
              <w:right w:val="nil"/>
            </w:tcBorders>
            <w:shd w:val="clear" w:color="000000" w:fill="FFFFFF"/>
            <w:noWrap/>
            <w:vAlign w:val="bottom"/>
            <w:hideMark/>
          </w:tcPr>
          <w:p w14:paraId="00FA428D"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450" w:type="dxa"/>
            <w:tcBorders>
              <w:top w:val="nil"/>
              <w:left w:val="nil"/>
              <w:bottom w:val="double" w:sz="6" w:space="0" w:color="auto"/>
              <w:right w:val="nil"/>
            </w:tcBorders>
            <w:shd w:val="clear" w:color="000000" w:fill="FFFFFF"/>
            <w:noWrap/>
            <w:vAlign w:val="bottom"/>
            <w:hideMark/>
          </w:tcPr>
          <w:p w14:paraId="1BD7C7E2"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r>
      <w:tr w:rsidR="00C951BB" w:rsidRPr="00C951BB" w14:paraId="5760DE69" w14:textId="77777777" w:rsidTr="00C951BB">
        <w:trPr>
          <w:trHeight w:val="340"/>
        </w:trPr>
        <w:tc>
          <w:tcPr>
            <w:tcW w:w="2980" w:type="dxa"/>
            <w:gridSpan w:val="2"/>
            <w:tcBorders>
              <w:top w:val="double" w:sz="6" w:space="0" w:color="auto"/>
              <w:left w:val="nil"/>
              <w:bottom w:val="single" w:sz="4" w:space="0" w:color="auto"/>
              <w:right w:val="nil"/>
            </w:tcBorders>
            <w:shd w:val="clear" w:color="000000" w:fill="FFFFFF"/>
            <w:noWrap/>
            <w:vAlign w:val="bottom"/>
            <w:hideMark/>
          </w:tcPr>
          <w:p w14:paraId="096565DF" w14:textId="551FF349" w:rsidR="00C951BB" w:rsidRPr="00C951BB" w:rsidRDefault="00C951BB" w:rsidP="00C951BB">
            <w:pPr>
              <w:rPr>
                <w:rFonts w:ascii="Times New Roman" w:eastAsia="Times New Roman" w:hAnsi="Times New Roman" w:cs="Times New Roman"/>
                <w:color w:val="000000"/>
                <w:kern w:val="0"/>
                <w14:ligatures w14:val="none"/>
              </w:rPr>
            </w:pPr>
          </w:p>
        </w:tc>
        <w:tc>
          <w:tcPr>
            <w:tcW w:w="2040" w:type="dxa"/>
            <w:tcBorders>
              <w:top w:val="nil"/>
              <w:left w:val="nil"/>
              <w:bottom w:val="single" w:sz="4" w:space="0" w:color="auto"/>
              <w:right w:val="nil"/>
            </w:tcBorders>
            <w:shd w:val="clear" w:color="000000" w:fill="FFFFFF"/>
            <w:noWrap/>
            <w:vAlign w:val="bottom"/>
            <w:hideMark/>
          </w:tcPr>
          <w:p w14:paraId="1201D6C2"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Adults</w:t>
            </w:r>
          </w:p>
        </w:tc>
        <w:tc>
          <w:tcPr>
            <w:tcW w:w="2450" w:type="dxa"/>
            <w:tcBorders>
              <w:top w:val="nil"/>
              <w:left w:val="nil"/>
              <w:bottom w:val="single" w:sz="4" w:space="0" w:color="auto"/>
              <w:right w:val="nil"/>
            </w:tcBorders>
            <w:shd w:val="clear" w:color="000000" w:fill="FFFFFF"/>
            <w:noWrap/>
            <w:vAlign w:val="bottom"/>
            <w:hideMark/>
          </w:tcPr>
          <w:p w14:paraId="6B989389"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Nymphs</w:t>
            </w:r>
          </w:p>
        </w:tc>
      </w:tr>
      <w:tr w:rsidR="00C951BB" w:rsidRPr="00C951BB" w14:paraId="77FC4AEA" w14:textId="77777777" w:rsidTr="00C951BB">
        <w:trPr>
          <w:trHeight w:val="320"/>
        </w:trPr>
        <w:tc>
          <w:tcPr>
            <w:tcW w:w="2980" w:type="dxa"/>
            <w:gridSpan w:val="2"/>
            <w:tcBorders>
              <w:top w:val="nil"/>
              <w:left w:val="nil"/>
              <w:bottom w:val="nil"/>
              <w:right w:val="nil"/>
            </w:tcBorders>
            <w:shd w:val="clear" w:color="000000" w:fill="FFFFFF"/>
            <w:noWrap/>
            <w:vAlign w:val="bottom"/>
            <w:hideMark/>
          </w:tcPr>
          <w:p w14:paraId="3A4154DC"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Site visits</w:t>
            </w:r>
          </w:p>
        </w:tc>
        <w:tc>
          <w:tcPr>
            <w:tcW w:w="2040" w:type="dxa"/>
            <w:tcBorders>
              <w:top w:val="nil"/>
              <w:left w:val="nil"/>
              <w:bottom w:val="nil"/>
              <w:right w:val="nil"/>
            </w:tcBorders>
            <w:shd w:val="clear" w:color="000000" w:fill="FFFFFF"/>
            <w:noWrap/>
            <w:vAlign w:val="bottom"/>
            <w:hideMark/>
          </w:tcPr>
          <w:p w14:paraId="77615948"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1,839</w:t>
            </w:r>
          </w:p>
        </w:tc>
        <w:tc>
          <w:tcPr>
            <w:tcW w:w="2450" w:type="dxa"/>
            <w:tcBorders>
              <w:top w:val="nil"/>
              <w:left w:val="nil"/>
              <w:bottom w:val="nil"/>
              <w:right w:val="nil"/>
            </w:tcBorders>
            <w:shd w:val="clear" w:color="000000" w:fill="FFFFFF"/>
            <w:noWrap/>
            <w:vAlign w:val="bottom"/>
            <w:hideMark/>
          </w:tcPr>
          <w:p w14:paraId="6CAB056E"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1,573</w:t>
            </w:r>
          </w:p>
        </w:tc>
      </w:tr>
      <w:tr w:rsidR="00C951BB" w:rsidRPr="00C951BB" w14:paraId="65178D44" w14:textId="77777777" w:rsidTr="00C951BB">
        <w:trPr>
          <w:trHeight w:val="320"/>
        </w:trPr>
        <w:tc>
          <w:tcPr>
            <w:tcW w:w="460" w:type="dxa"/>
            <w:tcBorders>
              <w:top w:val="nil"/>
              <w:left w:val="nil"/>
              <w:bottom w:val="nil"/>
              <w:right w:val="nil"/>
            </w:tcBorders>
            <w:shd w:val="clear" w:color="000000" w:fill="FFFFFF"/>
            <w:noWrap/>
            <w:vAlign w:val="bottom"/>
            <w:hideMark/>
          </w:tcPr>
          <w:p w14:paraId="24D2D9E3"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520" w:type="dxa"/>
            <w:tcBorders>
              <w:top w:val="nil"/>
              <w:left w:val="nil"/>
              <w:bottom w:val="nil"/>
              <w:right w:val="nil"/>
            </w:tcBorders>
            <w:shd w:val="clear" w:color="000000" w:fill="FFFFFF"/>
            <w:noWrap/>
            <w:vAlign w:val="bottom"/>
            <w:hideMark/>
          </w:tcPr>
          <w:p w14:paraId="47FD9C13"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040" w:type="dxa"/>
            <w:tcBorders>
              <w:top w:val="nil"/>
              <w:left w:val="nil"/>
              <w:bottom w:val="nil"/>
              <w:right w:val="nil"/>
            </w:tcBorders>
            <w:shd w:val="clear" w:color="000000" w:fill="FFFFFF"/>
            <w:noWrap/>
            <w:vAlign w:val="bottom"/>
            <w:hideMark/>
          </w:tcPr>
          <w:p w14:paraId="67597119"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450" w:type="dxa"/>
            <w:tcBorders>
              <w:top w:val="nil"/>
              <w:left w:val="nil"/>
              <w:bottom w:val="nil"/>
              <w:right w:val="nil"/>
            </w:tcBorders>
            <w:shd w:val="clear" w:color="000000" w:fill="FFFFFF"/>
            <w:noWrap/>
            <w:vAlign w:val="bottom"/>
            <w:hideMark/>
          </w:tcPr>
          <w:p w14:paraId="6D54B102"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r>
      <w:tr w:rsidR="00C951BB" w:rsidRPr="00C951BB" w14:paraId="52B22F0C" w14:textId="77777777" w:rsidTr="00C951BB">
        <w:trPr>
          <w:trHeight w:val="320"/>
        </w:trPr>
        <w:tc>
          <w:tcPr>
            <w:tcW w:w="2980" w:type="dxa"/>
            <w:gridSpan w:val="2"/>
            <w:tcBorders>
              <w:top w:val="nil"/>
              <w:left w:val="nil"/>
              <w:bottom w:val="nil"/>
              <w:right w:val="nil"/>
            </w:tcBorders>
            <w:shd w:val="clear" w:color="000000" w:fill="FFFFFF"/>
            <w:noWrap/>
            <w:vAlign w:val="bottom"/>
            <w:hideMark/>
          </w:tcPr>
          <w:p w14:paraId="53934723"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Specimens collected</w:t>
            </w:r>
          </w:p>
        </w:tc>
        <w:tc>
          <w:tcPr>
            <w:tcW w:w="2040" w:type="dxa"/>
            <w:tcBorders>
              <w:top w:val="nil"/>
              <w:left w:val="nil"/>
              <w:bottom w:val="nil"/>
              <w:right w:val="nil"/>
            </w:tcBorders>
            <w:shd w:val="clear" w:color="000000" w:fill="FFFFFF"/>
            <w:noWrap/>
            <w:vAlign w:val="bottom"/>
            <w:hideMark/>
          </w:tcPr>
          <w:p w14:paraId="541CF6F6"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100,565</w:t>
            </w:r>
          </w:p>
        </w:tc>
        <w:tc>
          <w:tcPr>
            <w:tcW w:w="2450" w:type="dxa"/>
            <w:tcBorders>
              <w:top w:val="nil"/>
              <w:left w:val="nil"/>
              <w:bottom w:val="nil"/>
              <w:right w:val="nil"/>
            </w:tcBorders>
            <w:shd w:val="clear" w:color="000000" w:fill="FFFFFF"/>
            <w:noWrap/>
            <w:vAlign w:val="bottom"/>
            <w:hideMark/>
          </w:tcPr>
          <w:p w14:paraId="763B0EC2"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48,636</w:t>
            </w:r>
          </w:p>
        </w:tc>
      </w:tr>
      <w:tr w:rsidR="00C951BB" w:rsidRPr="00C951BB" w14:paraId="20639D24" w14:textId="77777777" w:rsidTr="00C951BB">
        <w:trPr>
          <w:trHeight w:val="320"/>
        </w:trPr>
        <w:tc>
          <w:tcPr>
            <w:tcW w:w="460" w:type="dxa"/>
            <w:tcBorders>
              <w:top w:val="nil"/>
              <w:left w:val="nil"/>
              <w:bottom w:val="nil"/>
              <w:right w:val="nil"/>
            </w:tcBorders>
            <w:shd w:val="clear" w:color="000000" w:fill="FFFFFF"/>
            <w:noWrap/>
            <w:vAlign w:val="bottom"/>
            <w:hideMark/>
          </w:tcPr>
          <w:p w14:paraId="18C3C1E5"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520" w:type="dxa"/>
            <w:tcBorders>
              <w:top w:val="nil"/>
              <w:left w:val="nil"/>
              <w:bottom w:val="nil"/>
              <w:right w:val="nil"/>
            </w:tcBorders>
            <w:shd w:val="clear" w:color="000000" w:fill="FFFFFF"/>
            <w:noWrap/>
            <w:vAlign w:val="bottom"/>
            <w:hideMark/>
          </w:tcPr>
          <w:p w14:paraId="28F21C33"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040" w:type="dxa"/>
            <w:tcBorders>
              <w:top w:val="nil"/>
              <w:left w:val="nil"/>
              <w:bottom w:val="nil"/>
              <w:right w:val="nil"/>
            </w:tcBorders>
            <w:shd w:val="clear" w:color="000000" w:fill="FFFFFF"/>
            <w:noWrap/>
            <w:vAlign w:val="bottom"/>
            <w:hideMark/>
          </w:tcPr>
          <w:p w14:paraId="6B30983B"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450" w:type="dxa"/>
            <w:tcBorders>
              <w:top w:val="nil"/>
              <w:left w:val="nil"/>
              <w:bottom w:val="nil"/>
              <w:right w:val="nil"/>
            </w:tcBorders>
            <w:shd w:val="clear" w:color="000000" w:fill="FFFFFF"/>
            <w:noWrap/>
            <w:vAlign w:val="bottom"/>
            <w:hideMark/>
          </w:tcPr>
          <w:p w14:paraId="424D091E"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r>
      <w:tr w:rsidR="00C951BB" w:rsidRPr="00C951BB" w14:paraId="3F38660C" w14:textId="77777777" w:rsidTr="00C951BB">
        <w:trPr>
          <w:trHeight w:val="320"/>
        </w:trPr>
        <w:tc>
          <w:tcPr>
            <w:tcW w:w="2980" w:type="dxa"/>
            <w:gridSpan w:val="2"/>
            <w:tcBorders>
              <w:top w:val="nil"/>
              <w:left w:val="nil"/>
              <w:bottom w:val="nil"/>
              <w:right w:val="nil"/>
            </w:tcBorders>
            <w:shd w:val="clear" w:color="000000" w:fill="FFFFFF"/>
            <w:noWrap/>
            <w:vAlign w:val="bottom"/>
            <w:hideMark/>
          </w:tcPr>
          <w:p w14:paraId="28902E5E"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Total Tested</w:t>
            </w:r>
          </w:p>
        </w:tc>
        <w:tc>
          <w:tcPr>
            <w:tcW w:w="2040" w:type="dxa"/>
            <w:tcBorders>
              <w:top w:val="nil"/>
              <w:left w:val="nil"/>
              <w:bottom w:val="nil"/>
              <w:right w:val="nil"/>
            </w:tcBorders>
            <w:shd w:val="clear" w:color="000000" w:fill="FFFFFF"/>
            <w:noWrap/>
            <w:vAlign w:val="bottom"/>
            <w:hideMark/>
          </w:tcPr>
          <w:p w14:paraId="3E4FA025"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55,941 (55.63%)</w:t>
            </w:r>
          </w:p>
        </w:tc>
        <w:tc>
          <w:tcPr>
            <w:tcW w:w="2450" w:type="dxa"/>
            <w:tcBorders>
              <w:top w:val="nil"/>
              <w:left w:val="nil"/>
              <w:bottom w:val="nil"/>
              <w:right w:val="nil"/>
            </w:tcBorders>
            <w:shd w:val="clear" w:color="000000" w:fill="FFFFFF"/>
            <w:noWrap/>
            <w:vAlign w:val="bottom"/>
            <w:hideMark/>
          </w:tcPr>
          <w:p w14:paraId="0FBF76AC"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32,980 (67.81%)</w:t>
            </w:r>
          </w:p>
        </w:tc>
      </w:tr>
      <w:tr w:rsidR="00C951BB" w:rsidRPr="00C951BB" w14:paraId="1DB477EC" w14:textId="77777777" w:rsidTr="00C951BB">
        <w:trPr>
          <w:trHeight w:val="320"/>
        </w:trPr>
        <w:tc>
          <w:tcPr>
            <w:tcW w:w="460" w:type="dxa"/>
            <w:tcBorders>
              <w:top w:val="nil"/>
              <w:left w:val="nil"/>
              <w:bottom w:val="nil"/>
              <w:right w:val="nil"/>
            </w:tcBorders>
            <w:shd w:val="clear" w:color="000000" w:fill="FFFFFF"/>
            <w:noWrap/>
            <w:vAlign w:val="bottom"/>
            <w:hideMark/>
          </w:tcPr>
          <w:p w14:paraId="71AFB1B9"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520" w:type="dxa"/>
            <w:tcBorders>
              <w:top w:val="nil"/>
              <w:left w:val="nil"/>
              <w:bottom w:val="nil"/>
              <w:right w:val="nil"/>
            </w:tcBorders>
            <w:shd w:val="clear" w:color="000000" w:fill="FFFFFF"/>
            <w:noWrap/>
            <w:vAlign w:val="bottom"/>
            <w:hideMark/>
          </w:tcPr>
          <w:p w14:paraId="7C41FE77"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040" w:type="dxa"/>
            <w:tcBorders>
              <w:top w:val="nil"/>
              <w:left w:val="nil"/>
              <w:bottom w:val="nil"/>
              <w:right w:val="nil"/>
            </w:tcBorders>
            <w:shd w:val="clear" w:color="000000" w:fill="FFFFFF"/>
            <w:noWrap/>
            <w:vAlign w:val="bottom"/>
            <w:hideMark/>
          </w:tcPr>
          <w:p w14:paraId="0ACC099A" w14:textId="77777777" w:rsidR="00C951BB" w:rsidRPr="00C951BB" w:rsidRDefault="00C951BB" w:rsidP="00C951BB">
            <w:pPr>
              <w:jc w:val="center"/>
              <w:rPr>
                <w:rFonts w:ascii="Aptos Narrow" w:eastAsia="Times New Roman" w:hAnsi="Aptos Narrow" w:cs="Times New Roman"/>
                <w:color w:val="000000"/>
                <w:kern w:val="0"/>
                <w14:ligatures w14:val="none"/>
              </w:rPr>
            </w:pPr>
            <w:r w:rsidRPr="00C951BB">
              <w:rPr>
                <w:rFonts w:ascii="Aptos Narrow" w:eastAsia="Times New Roman" w:hAnsi="Aptos Narrow" w:cs="Times New Roman"/>
                <w:color w:val="000000"/>
                <w:kern w:val="0"/>
                <w14:ligatures w14:val="none"/>
              </w:rPr>
              <w:t> </w:t>
            </w:r>
          </w:p>
        </w:tc>
        <w:tc>
          <w:tcPr>
            <w:tcW w:w="2450" w:type="dxa"/>
            <w:tcBorders>
              <w:top w:val="nil"/>
              <w:left w:val="nil"/>
              <w:bottom w:val="nil"/>
              <w:right w:val="nil"/>
            </w:tcBorders>
            <w:shd w:val="clear" w:color="000000" w:fill="FFFFFF"/>
            <w:noWrap/>
            <w:vAlign w:val="bottom"/>
            <w:hideMark/>
          </w:tcPr>
          <w:p w14:paraId="509921DA"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r>
      <w:tr w:rsidR="00C951BB" w:rsidRPr="00C951BB" w14:paraId="1FD2844F" w14:textId="77777777" w:rsidTr="00C951BB">
        <w:trPr>
          <w:trHeight w:val="320"/>
        </w:trPr>
        <w:tc>
          <w:tcPr>
            <w:tcW w:w="2980" w:type="dxa"/>
            <w:gridSpan w:val="2"/>
            <w:tcBorders>
              <w:top w:val="nil"/>
              <w:left w:val="nil"/>
              <w:bottom w:val="nil"/>
              <w:right w:val="nil"/>
            </w:tcBorders>
            <w:shd w:val="clear" w:color="000000" w:fill="FFFFFF"/>
            <w:noWrap/>
            <w:vAlign w:val="bottom"/>
            <w:hideMark/>
          </w:tcPr>
          <w:p w14:paraId="2F695667"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i/>
                <w:iCs/>
                <w:color w:val="000000"/>
                <w:kern w:val="0"/>
                <w14:ligatures w14:val="none"/>
              </w:rPr>
              <w:t xml:space="preserve">A. phagocytophilum </w:t>
            </w:r>
            <w:r w:rsidRPr="00C951BB">
              <w:rPr>
                <w:rFonts w:ascii="Times New Roman" w:eastAsia="Times New Roman" w:hAnsi="Times New Roman" w:cs="Times New Roman"/>
                <w:color w:val="000000"/>
                <w:kern w:val="0"/>
                <w14:ligatures w14:val="none"/>
              </w:rPr>
              <w:t>positive</w:t>
            </w:r>
          </w:p>
        </w:tc>
        <w:tc>
          <w:tcPr>
            <w:tcW w:w="2040" w:type="dxa"/>
            <w:tcBorders>
              <w:top w:val="nil"/>
              <w:left w:val="nil"/>
              <w:bottom w:val="nil"/>
              <w:right w:val="nil"/>
            </w:tcBorders>
            <w:shd w:val="clear" w:color="000000" w:fill="FFFFFF"/>
            <w:noWrap/>
            <w:vAlign w:val="bottom"/>
            <w:hideMark/>
          </w:tcPr>
          <w:p w14:paraId="772473B3"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4,564 (8.16%)</w:t>
            </w:r>
          </w:p>
        </w:tc>
        <w:tc>
          <w:tcPr>
            <w:tcW w:w="2450" w:type="dxa"/>
            <w:tcBorders>
              <w:top w:val="nil"/>
              <w:left w:val="nil"/>
              <w:bottom w:val="nil"/>
              <w:right w:val="nil"/>
            </w:tcBorders>
            <w:shd w:val="clear" w:color="000000" w:fill="FFFFFF"/>
            <w:noWrap/>
            <w:vAlign w:val="bottom"/>
            <w:hideMark/>
          </w:tcPr>
          <w:p w14:paraId="4C778267"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1,562 (4.74%)</w:t>
            </w:r>
          </w:p>
        </w:tc>
      </w:tr>
      <w:tr w:rsidR="00C951BB" w:rsidRPr="00C951BB" w14:paraId="5A1D5989" w14:textId="77777777" w:rsidTr="00C951BB">
        <w:trPr>
          <w:trHeight w:val="320"/>
        </w:trPr>
        <w:tc>
          <w:tcPr>
            <w:tcW w:w="460" w:type="dxa"/>
            <w:tcBorders>
              <w:top w:val="nil"/>
              <w:left w:val="nil"/>
              <w:bottom w:val="nil"/>
              <w:right w:val="nil"/>
            </w:tcBorders>
            <w:shd w:val="clear" w:color="000000" w:fill="FFFFFF"/>
            <w:noWrap/>
            <w:vAlign w:val="bottom"/>
            <w:hideMark/>
          </w:tcPr>
          <w:p w14:paraId="6A2A8AD6"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520" w:type="dxa"/>
            <w:tcBorders>
              <w:top w:val="nil"/>
              <w:left w:val="nil"/>
              <w:bottom w:val="nil"/>
              <w:right w:val="nil"/>
            </w:tcBorders>
            <w:shd w:val="clear" w:color="000000" w:fill="FFFFFF"/>
            <w:noWrap/>
            <w:vAlign w:val="bottom"/>
            <w:hideMark/>
          </w:tcPr>
          <w:p w14:paraId="7D1D2029"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040" w:type="dxa"/>
            <w:tcBorders>
              <w:top w:val="nil"/>
              <w:left w:val="nil"/>
              <w:bottom w:val="nil"/>
              <w:right w:val="nil"/>
            </w:tcBorders>
            <w:shd w:val="clear" w:color="000000" w:fill="FFFFFF"/>
            <w:noWrap/>
            <w:vAlign w:val="bottom"/>
            <w:hideMark/>
          </w:tcPr>
          <w:p w14:paraId="6167BEBA"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450" w:type="dxa"/>
            <w:tcBorders>
              <w:top w:val="nil"/>
              <w:left w:val="nil"/>
              <w:bottom w:val="nil"/>
              <w:right w:val="nil"/>
            </w:tcBorders>
            <w:shd w:val="clear" w:color="000000" w:fill="FFFFFF"/>
            <w:noWrap/>
            <w:vAlign w:val="bottom"/>
            <w:hideMark/>
          </w:tcPr>
          <w:p w14:paraId="640CCCE5"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r>
      <w:tr w:rsidR="00C951BB" w:rsidRPr="00C951BB" w14:paraId="74BB254D" w14:textId="77777777" w:rsidTr="00C951BB">
        <w:trPr>
          <w:trHeight w:val="320"/>
        </w:trPr>
        <w:tc>
          <w:tcPr>
            <w:tcW w:w="460" w:type="dxa"/>
            <w:tcBorders>
              <w:top w:val="nil"/>
              <w:left w:val="nil"/>
              <w:bottom w:val="nil"/>
              <w:right w:val="nil"/>
            </w:tcBorders>
            <w:shd w:val="clear" w:color="000000" w:fill="FFFFFF"/>
            <w:noWrap/>
            <w:vAlign w:val="bottom"/>
            <w:hideMark/>
          </w:tcPr>
          <w:p w14:paraId="3300CFA3" w14:textId="77777777" w:rsidR="00C951BB" w:rsidRPr="00C951BB" w:rsidRDefault="00C951BB" w:rsidP="00C951BB">
            <w:pPr>
              <w:rPr>
                <w:rFonts w:ascii="Aptos Narrow" w:eastAsia="Times New Roman" w:hAnsi="Aptos Narrow" w:cs="Times New Roman"/>
                <w:color w:val="000000"/>
                <w:kern w:val="0"/>
                <w14:ligatures w14:val="none"/>
              </w:rPr>
            </w:pPr>
            <w:r w:rsidRPr="00C951BB">
              <w:rPr>
                <w:rFonts w:ascii="Aptos Narrow" w:eastAsia="Times New Roman" w:hAnsi="Aptos Narrow" w:cs="Times New Roman"/>
                <w:color w:val="000000"/>
                <w:kern w:val="0"/>
                <w14:ligatures w14:val="none"/>
              </w:rPr>
              <w:t> </w:t>
            </w:r>
          </w:p>
        </w:tc>
        <w:tc>
          <w:tcPr>
            <w:tcW w:w="2520" w:type="dxa"/>
            <w:tcBorders>
              <w:top w:val="nil"/>
              <w:left w:val="nil"/>
              <w:bottom w:val="nil"/>
              <w:right w:val="nil"/>
            </w:tcBorders>
            <w:shd w:val="clear" w:color="000000" w:fill="FFFFFF"/>
            <w:noWrap/>
            <w:vAlign w:val="bottom"/>
            <w:hideMark/>
          </w:tcPr>
          <w:p w14:paraId="412A6526"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Ap-ha positive</w:t>
            </w:r>
          </w:p>
        </w:tc>
        <w:tc>
          <w:tcPr>
            <w:tcW w:w="2040" w:type="dxa"/>
            <w:tcBorders>
              <w:top w:val="nil"/>
              <w:left w:val="nil"/>
              <w:bottom w:val="nil"/>
              <w:right w:val="nil"/>
            </w:tcBorders>
            <w:shd w:val="clear" w:color="000000" w:fill="FFFFFF"/>
            <w:noWrap/>
            <w:vAlign w:val="bottom"/>
            <w:hideMark/>
          </w:tcPr>
          <w:p w14:paraId="127740D8"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3,452 (6.17%)</w:t>
            </w:r>
          </w:p>
        </w:tc>
        <w:tc>
          <w:tcPr>
            <w:tcW w:w="2450" w:type="dxa"/>
            <w:tcBorders>
              <w:top w:val="nil"/>
              <w:left w:val="nil"/>
              <w:bottom w:val="nil"/>
              <w:right w:val="nil"/>
            </w:tcBorders>
            <w:shd w:val="clear" w:color="000000" w:fill="FFFFFF"/>
            <w:noWrap/>
            <w:vAlign w:val="bottom"/>
            <w:hideMark/>
          </w:tcPr>
          <w:p w14:paraId="03FF5060"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691 (2.10%)</w:t>
            </w:r>
          </w:p>
        </w:tc>
      </w:tr>
      <w:tr w:rsidR="00C951BB" w:rsidRPr="00C951BB" w14:paraId="5462A573" w14:textId="77777777" w:rsidTr="00C951BB">
        <w:trPr>
          <w:trHeight w:val="320"/>
        </w:trPr>
        <w:tc>
          <w:tcPr>
            <w:tcW w:w="460" w:type="dxa"/>
            <w:tcBorders>
              <w:top w:val="nil"/>
              <w:left w:val="nil"/>
              <w:bottom w:val="nil"/>
              <w:right w:val="nil"/>
            </w:tcBorders>
            <w:shd w:val="clear" w:color="000000" w:fill="FFFFFF"/>
            <w:noWrap/>
            <w:vAlign w:val="bottom"/>
            <w:hideMark/>
          </w:tcPr>
          <w:p w14:paraId="4A92DE2D" w14:textId="77777777" w:rsidR="00C951BB" w:rsidRPr="00C951BB" w:rsidRDefault="00C951BB" w:rsidP="00C951BB">
            <w:pPr>
              <w:rPr>
                <w:rFonts w:ascii="Aptos Narrow" w:eastAsia="Times New Roman" w:hAnsi="Aptos Narrow" w:cs="Times New Roman"/>
                <w:color w:val="000000"/>
                <w:kern w:val="0"/>
                <w14:ligatures w14:val="none"/>
              </w:rPr>
            </w:pPr>
            <w:r w:rsidRPr="00C951BB">
              <w:rPr>
                <w:rFonts w:ascii="Aptos Narrow" w:eastAsia="Times New Roman" w:hAnsi="Aptos Narrow" w:cs="Times New Roman"/>
                <w:color w:val="000000"/>
                <w:kern w:val="0"/>
                <w14:ligatures w14:val="none"/>
              </w:rPr>
              <w:t> </w:t>
            </w:r>
          </w:p>
        </w:tc>
        <w:tc>
          <w:tcPr>
            <w:tcW w:w="2520" w:type="dxa"/>
            <w:tcBorders>
              <w:top w:val="nil"/>
              <w:left w:val="nil"/>
              <w:bottom w:val="nil"/>
              <w:right w:val="nil"/>
            </w:tcBorders>
            <w:shd w:val="clear" w:color="000000" w:fill="FFFFFF"/>
            <w:noWrap/>
            <w:vAlign w:val="bottom"/>
            <w:hideMark/>
          </w:tcPr>
          <w:p w14:paraId="7F625111"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040" w:type="dxa"/>
            <w:tcBorders>
              <w:top w:val="nil"/>
              <w:left w:val="nil"/>
              <w:bottom w:val="nil"/>
              <w:right w:val="nil"/>
            </w:tcBorders>
            <w:shd w:val="clear" w:color="000000" w:fill="FFFFFF"/>
            <w:noWrap/>
            <w:vAlign w:val="bottom"/>
            <w:hideMark/>
          </w:tcPr>
          <w:p w14:paraId="79CCE884"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450" w:type="dxa"/>
            <w:tcBorders>
              <w:top w:val="nil"/>
              <w:left w:val="nil"/>
              <w:bottom w:val="nil"/>
              <w:right w:val="nil"/>
            </w:tcBorders>
            <w:shd w:val="clear" w:color="000000" w:fill="FFFFFF"/>
            <w:noWrap/>
            <w:vAlign w:val="bottom"/>
            <w:hideMark/>
          </w:tcPr>
          <w:p w14:paraId="45010D29"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r>
      <w:tr w:rsidR="00C951BB" w:rsidRPr="00C951BB" w14:paraId="17FE58E2" w14:textId="77777777" w:rsidTr="00C951BB">
        <w:trPr>
          <w:trHeight w:val="320"/>
        </w:trPr>
        <w:tc>
          <w:tcPr>
            <w:tcW w:w="460" w:type="dxa"/>
            <w:tcBorders>
              <w:top w:val="nil"/>
              <w:left w:val="nil"/>
              <w:bottom w:val="nil"/>
              <w:right w:val="nil"/>
            </w:tcBorders>
            <w:shd w:val="clear" w:color="000000" w:fill="FFFFFF"/>
            <w:noWrap/>
            <w:vAlign w:val="bottom"/>
            <w:hideMark/>
          </w:tcPr>
          <w:p w14:paraId="67721886" w14:textId="77777777" w:rsidR="00C951BB" w:rsidRPr="00C951BB" w:rsidRDefault="00C951BB" w:rsidP="00C951BB">
            <w:pPr>
              <w:rPr>
                <w:rFonts w:ascii="Aptos Narrow" w:eastAsia="Times New Roman" w:hAnsi="Aptos Narrow" w:cs="Times New Roman"/>
                <w:color w:val="000000"/>
                <w:kern w:val="0"/>
                <w14:ligatures w14:val="none"/>
              </w:rPr>
            </w:pPr>
            <w:r w:rsidRPr="00C951BB">
              <w:rPr>
                <w:rFonts w:ascii="Aptos Narrow" w:eastAsia="Times New Roman" w:hAnsi="Aptos Narrow" w:cs="Times New Roman"/>
                <w:color w:val="000000"/>
                <w:kern w:val="0"/>
                <w14:ligatures w14:val="none"/>
              </w:rPr>
              <w:t> </w:t>
            </w:r>
          </w:p>
        </w:tc>
        <w:tc>
          <w:tcPr>
            <w:tcW w:w="2520" w:type="dxa"/>
            <w:tcBorders>
              <w:top w:val="nil"/>
              <w:left w:val="nil"/>
              <w:bottom w:val="nil"/>
              <w:right w:val="nil"/>
            </w:tcBorders>
            <w:shd w:val="clear" w:color="000000" w:fill="FFFFFF"/>
            <w:noWrap/>
            <w:vAlign w:val="bottom"/>
            <w:hideMark/>
          </w:tcPr>
          <w:p w14:paraId="1F23AE2A"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Ap-v1 positive</w:t>
            </w:r>
          </w:p>
        </w:tc>
        <w:tc>
          <w:tcPr>
            <w:tcW w:w="2040" w:type="dxa"/>
            <w:tcBorders>
              <w:top w:val="nil"/>
              <w:left w:val="nil"/>
              <w:bottom w:val="nil"/>
              <w:right w:val="nil"/>
            </w:tcBorders>
            <w:shd w:val="clear" w:color="000000" w:fill="FFFFFF"/>
            <w:noWrap/>
            <w:vAlign w:val="bottom"/>
            <w:hideMark/>
          </w:tcPr>
          <w:p w14:paraId="36DD40CC"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987 (1.76%)</w:t>
            </w:r>
          </w:p>
        </w:tc>
        <w:tc>
          <w:tcPr>
            <w:tcW w:w="2450" w:type="dxa"/>
            <w:tcBorders>
              <w:top w:val="nil"/>
              <w:left w:val="nil"/>
              <w:bottom w:val="nil"/>
              <w:right w:val="nil"/>
            </w:tcBorders>
            <w:shd w:val="clear" w:color="000000" w:fill="FFFFFF"/>
            <w:noWrap/>
            <w:vAlign w:val="bottom"/>
            <w:hideMark/>
          </w:tcPr>
          <w:p w14:paraId="610BAD25"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786 (2.38%)</w:t>
            </w:r>
          </w:p>
        </w:tc>
      </w:tr>
      <w:tr w:rsidR="00C951BB" w:rsidRPr="00C951BB" w14:paraId="4C374572" w14:textId="77777777" w:rsidTr="00C951BB">
        <w:trPr>
          <w:trHeight w:val="320"/>
        </w:trPr>
        <w:tc>
          <w:tcPr>
            <w:tcW w:w="460" w:type="dxa"/>
            <w:tcBorders>
              <w:top w:val="nil"/>
              <w:left w:val="nil"/>
              <w:bottom w:val="nil"/>
              <w:right w:val="nil"/>
            </w:tcBorders>
            <w:shd w:val="clear" w:color="000000" w:fill="FFFFFF"/>
            <w:noWrap/>
            <w:vAlign w:val="bottom"/>
            <w:hideMark/>
          </w:tcPr>
          <w:p w14:paraId="13A493EC" w14:textId="77777777" w:rsidR="00C951BB" w:rsidRPr="00C951BB" w:rsidRDefault="00C951BB" w:rsidP="00C951BB">
            <w:pPr>
              <w:rPr>
                <w:rFonts w:ascii="Aptos Narrow" w:eastAsia="Times New Roman" w:hAnsi="Aptos Narrow" w:cs="Times New Roman"/>
                <w:color w:val="000000"/>
                <w:kern w:val="0"/>
                <w14:ligatures w14:val="none"/>
              </w:rPr>
            </w:pPr>
            <w:r w:rsidRPr="00C951BB">
              <w:rPr>
                <w:rFonts w:ascii="Aptos Narrow" w:eastAsia="Times New Roman" w:hAnsi="Aptos Narrow" w:cs="Times New Roman"/>
                <w:color w:val="000000"/>
                <w:kern w:val="0"/>
                <w14:ligatures w14:val="none"/>
              </w:rPr>
              <w:t> </w:t>
            </w:r>
          </w:p>
        </w:tc>
        <w:tc>
          <w:tcPr>
            <w:tcW w:w="2520" w:type="dxa"/>
            <w:tcBorders>
              <w:top w:val="nil"/>
              <w:left w:val="nil"/>
              <w:bottom w:val="nil"/>
              <w:right w:val="nil"/>
            </w:tcBorders>
            <w:shd w:val="clear" w:color="000000" w:fill="FFFFFF"/>
            <w:noWrap/>
            <w:vAlign w:val="bottom"/>
            <w:hideMark/>
          </w:tcPr>
          <w:p w14:paraId="2BCB7298"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040" w:type="dxa"/>
            <w:tcBorders>
              <w:top w:val="nil"/>
              <w:left w:val="nil"/>
              <w:bottom w:val="nil"/>
              <w:right w:val="nil"/>
            </w:tcBorders>
            <w:shd w:val="clear" w:color="000000" w:fill="FFFFFF"/>
            <w:noWrap/>
            <w:vAlign w:val="bottom"/>
            <w:hideMark/>
          </w:tcPr>
          <w:p w14:paraId="36F7EAFD"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450" w:type="dxa"/>
            <w:tcBorders>
              <w:top w:val="nil"/>
              <w:left w:val="nil"/>
              <w:bottom w:val="nil"/>
              <w:right w:val="nil"/>
            </w:tcBorders>
            <w:shd w:val="clear" w:color="000000" w:fill="FFFFFF"/>
            <w:noWrap/>
            <w:vAlign w:val="bottom"/>
            <w:hideMark/>
          </w:tcPr>
          <w:p w14:paraId="5FFEC779"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r>
      <w:tr w:rsidR="00C951BB" w:rsidRPr="00C951BB" w14:paraId="46440570" w14:textId="77777777" w:rsidTr="00C951BB">
        <w:trPr>
          <w:trHeight w:val="320"/>
        </w:trPr>
        <w:tc>
          <w:tcPr>
            <w:tcW w:w="460" w:type="dxa"/>
            <w:tcBorders>
              <w:top w:val="nil"/>
              <w:left w:val="nil"/>
              <w:bottom w:val="nil"/>
              <w:right w:val="nil"/>
            </w:tcBorders>
            <w:shd w:val="clear" w:color="000000" w:fill="FFFFFF"/>
            <w:noWrap/>
            <w:vAlign w:val="bottom"/>
            <w:hideMark/>
          </w:tcPr>
          <w:p w14:paraId="7F70141B" w14:textId="77777777" w:rsidR="00C951BB" w:rsidRPr="00C951BB" w:rsidRDefault="00C951BB" w:rsidP="00C951BB">
            <w:pPr>
              <w:rPr>
                <w:rFonts w:ascii="Aptos Narrow" w:eastAsia="Times New Roman" w:hAnsi="Aptos Narrow" w:cs="Times New Roman"/>
                <w:color w:val="000000"/>
                <w:kern w:val="0"/>
                <w14:ligatures w14:val="none"/>
              </w:rPr>
            </w:pPr>
            <w:r w:rsidRPr="00C951BB">
              <w:rPr>
                <w:rFonts w:ascii="Aptos Narrow" w:eastAsia="Times New Roman" w:hAnsi="Aptos Narrow" w:cs="Times New Roman"/>
                <w:color w:val="000000"/>
                <w:kern w:val="0"/>
                <w14:ligatures w14:val="none"/>
              </w:rPr>
              <w:t> </w:t>
            </w:r>
          </w:p>
        </w:tc>
        <w:tc>
          <w:tcPr>
            <w:tcW w:w="2520" w:type="dxa"/>
            <w:tcBorders>
              <w:top w:val="nil"/>
              <w:left w:val="nil"/>
              <w:bottom w:val="nil"/>
              <w:right w:val="nil"/>
            </w:tcBorders>
            <w:shd w:val="clear" w:color="000000" w:fill="FFFFFF"/>
            <w:noWrap/>
            <w:vAlign w:val="bottom"/>
            <w:hideMark/>
          </w:tcPr>
          <w:p w14:paraId="09C04D04"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Ap-ha/Ap-v1 coinfected</w:t>
            </w:r>
          </w:p>
        </w:tc>
        <w:tc>
          <w:tcPr>
            <w:tcW w:w="2040" w:type="dxa"/>
            <w:tcBorders>
              <w:top w:val="nil"/>
              <w:left w:val="nil"/>
              <w:bottom w:val="nil"/>
              <w:right w:val="nil"/>
            </w:tcBorders>
            <w:shd w:val="clear" w:color="000000" w:fill="FFFFFF"/>
            <w:noWrap/>
            <w:vAlign w:val="bottom"/>
            <w:hideMark/>
          </w:tcPr>
          <w:p w14:paraId="31575A03"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26 (0.05%)</w:t>
            </w:r>
          </w:p>
        </w:tc>
        <w:tc>
          <w:tcPr>
            <w:tcW w:w="2450" w:type="dxa"/>
            <w:tcBorders>
              <w:top w:val="nil"/>
              <w:left w:val="nil"/>
              <w:bottom w:val="nil"/>
              <w:right w:val="nil"/>
            </w:tcBorders>
            <w:shd w:val="clear" w:color="000000" w:fill="FFFFFF"/>
            <w:noWrap/>
            <w:vAlign w:val="bottom"/>
            <w:hideMark/>
          </w:tcPr>
          <w:p w14:paraId="7F24EA78"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0 (0.00%)</w:t>
            </w:r>
          </w:p>
        </w:tc>
      </w:tr>
      <w:tr w:rsidR="00C951BB" w:rsidRPr="00C951BB" w14:paraId="04BA1A91" w14:textId="77777777" w:rsidTr="00C951BB">
        <w:trPr>
          <w:trHeight w:val="320"/>
        </w:trPr>
        <w:tc>
          <w:tcPr>
            <w:tcW w:w="460" w:type="dxa"/>
            <w:tcBorders>
              <w:top w:val="nil"/>
              <w:left w:val="nil"/>
              <w:bottom w:val="nil"/>
              <w:right w:val="nil"/>
            </w:tcBorders>
            <w:shd w:val="clear" w:color="000000" w:fill="FFFFFF"/>
            <w:noWrap/>
            <w:vAlign w:val="bottom"/>
            <w:hideMark/>
          </w:tcPr>
          <w:p w14:paraId="3A917FAA" w14:textId="77777777" w:rsidR="00C951BB" w:rsidRPr="00C951BB" w:rsidRDefault="00C951BB" w:rsidP="00C951BB">
            <w:pPr>
              <w:rPr>
                <w:rFonts w:ascii="Aptos Narrow" w:eastAsia="Times New Roman" w:hAnsi="Aptos Narrow" w:cs="Times New Roman"/>
                <w:color w:val="000000"/>
                <w:kern w:val="0"/>
                <w14:ligatures w14:val="none"/>
              </w:rPr>
            </w:pPr>
            <w:r w:rsidRPr="00C951BB">
              <w:rPr>
                <w:rFonts w:ascii="Aptos Narrow" w:eastAsia="Times New Roman" w:hAnsi="Aptos Narrow" w:cs="Times New Roman"/>
                <w:color w:val="000000"/>
                <w:kern w:val="0"/>
                <w14:ligatures w14:val="none"/>
              </w:rPr>
              <w:t> </w:t>
            </w:r>
          </w:p>
        </w:tc>
        <w:tc>
          <w:tcPr>
            <w:tcW w:w="2520" w:type="dxa"/>
            <w:tcBorders>
              <w:top w:val="nil"/>
              <w:left w:val="nil"/>
              <w:bottom w:val="nil"/>
              <w:right w:val="nil"/>
            </w:tcBorders>
            <w:shd w:val="clear" w:color="000000" w:fill="FFFFFF"/>
            <w:noWrap/>
            <w:vAlign w:val="bottom"/>
            <w:hideMark/>
          </w:tcPr>
          <w:p w14:paraId="7ADB7EC3" w14:textId="77777777"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040" w:type="dxa"/>
            <w:tcBorders>
              <w:top w:val="nil"/>
              <w:left w:val="nil"/>
              <w:bottom w:val="nil"/>
              <w:right w:val="nil"/>
            </w:tcBorders>
            <w:shd w:val="clear" w:color="000000" w:fill="FFFFFF"/>
            <w:noWrap/>
            <w:vAlign w:val="bottom"/>
            <w:hideMark/>
          </w:tcPr>
          <w:p w14:paraId="519AEF28"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c>
          <w:tcPr>
            <w:tcW w:w="2450" w:type="dxa"/>
            <w:tcBorders>
              <w:top w:val="nil"/>
              <w:left w:val="nil"/>
              <w:bottom w:val="nil"/>
              <w:right w:val="nil"/>
            </w:tcBorders>
            <w:shd w:val="clear" w:color="000000" w:fill="FFFFFF"/>
            <w:noWrap/>
            <w:vAlign w:val="bottom"/>
            <w:hideMark/>
          </w:tcPr>
          <w:p w14:paraId="3FD5B629"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w:t>
            </w:r>
          </w:p>
        </w:tc>
      </w:tr>
      <w:tr w:rsidR="00C951BB" w:rsidRPr="00C951BB" w14:paraId="7AF50AE9" w14:textId="77777777" w:rsidTr="00C951BB">
        <w:trPr>
          <w:trHeight w:val="320"/>
        </w:trPr>
        <w:tc>
          <w:tcPr>
            <w:tcW w:w="460" w:type="dxa"/>
            <w:tcBorders>
              <w:top w:val="nil"/>
              <w:left w:val="nil"/>
              <w:bottom w:val="nil"/>
              <w:right w:val="nil"/>
            </w:tcBorders>
            <w:shd w:val="clear" w:color="000000" w:fill="FFFFFF"/>
            <w:noWrap/>
            <w:vAlign w:val="bottom"/>
            <w:hideMark/>
          </w:tcPr>
          <w:p w14:paraId="7299CDB7" w14:textId="77777777" w:rsidR="00C951BB" w:rsidRPr="00C951BB" w:rsidRDefault="00C951BB" w:rsidP="00C951BB">
            <w:pPr>
              <w:rPr>
                <w:rFonts w:ascii="Aptos Narrow" w:eastAsia="Times New Roman" w:hAnsi="Aptos Narrow" w:cs="Times New Roman"/>
                <w:color w:val="000000"/>
                <w:kern w:val="0"/>
                <w14:ligatures w14:val="none"/>
              </w:rPr>
            </w:pPr>
            <w:r w:rsidRPr="00C951BB">
              <w:rPr>
                <w:rFonts w:ascii="Aptos Narrow" w:eastAsia="Times New Roman" w:hAnsi="Aptos Narrow" w:cs="Times New Roman"/>
                <w:color w:val="000000"/>
                <w:kern w:val="0"/>
                <w14:ligatures w14:val="none"/>
              </w:rPr>
              <w:t> </w:t>
            </w:r>
          </w:p>
        </w:tc>
        <w:tc>
          <w:tcPr>
            <w:tcW w:w="2520" w:type="dxa"/>
            <w:tcBorders>
              <w:top w:val="nil"/>
              <w:left w:val="nil"/>
              <w:bottom w:val="nil"/>
              <w:right w:val="nil"/>
            </w:tcBorders>
            <w:shd w:val="clear" w:color="000000" w:fill="FFFFFF"/>
            <w:noWrap/>
            <w:vAlign w:val="bottom"/>
            <w:hideMark/>
          </w:tcPr>
          <w:p w14:paraId="1175E9A8" w14:textId="3FCB0C75" w:rsidR="00C951BB" w:rsidRPr="00C951BB" w:rsidRDefault="00C951BB" w:rsidP="00C951BB">
            <w:pP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 xml:space="preserve">Undetermined </w:t>
            </w:r>
          </w:p>
        </w:tc>
        <w:tc>
          <w:tcPr>
            <w:tcW w:w="2040" w:type="dxa"/>
            <w:tcBorders>
              <w:top w:val="nil"/>
              <w:left w:val="nil"/>
              <w:bottom w:val="nil"/>
              <w:right w:val="nil"/>
            </w:tcBorders>
            <w:shd w:val="clear" w:color="000000" w:fill="FFFFFF"/>
            <w:noWrap/>
            <w:vAlign w:val="bottom"/>
            <w:hideMark/>
          </w:tcPr>
          <w:p w14:paraId="73919564"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151 (0.27%)</w:t>
            </w:r>
          </w:p>
        </w:tc>
        <w:tc>
          <w:tcPr>
            <w:tcW w:w="2450" w:type="dxa"/>
            <w:tcBorders>
              <w:top w:val="nil"/>
              <w:left w:val="nil"/>
              <w:bottom w:val="nil"/>
              <w:right w:val="nil"/>
            </w:tcBorders>
            <w:shd w:val="clear" w:color="000000" w:fill="FFFFFF"/>
            <w:noWrap/>
            <w:vAlign w:val="bottom"/>
            <w:hideMark/>
          </w:tcPr>
          <w:p w14:paraId="331D027C" w14:textId="77777777" w:rsidR="00C951BB" w:rsidRPr="00C951BB" w:rsidRDefault="00C951BB" w:rsidP="00C951BB">
            <w:pPr>
              <w:jc w:val="center"/>
              <w:rPr>
                <w:rFonts w:ascii="Times New Roman" w:eastAsia="Times New Roman" w:hAnsi="Times New Roman" w:cs="Times New Roman"/>
                <w:color w:val="000000"/>
                <w:kern w:val="0"/>
                <w14:ligatures w14:val="none"/>
              </w:rPr>
            </w:pPr>
            <w:r w:rsidRPr="00C951BB">
              <w:rPr>
                <w:rFonts w:ascii="Times New Roman" w:eastAsia="Times New Roman" w:hAnsi="Times New Roman" w:cs="Times New Roman"/>
                <w:color w:val="000000"/>
                <w:kern w:val="0"/>
                <w14:ligatures w14:val="none"/>
              </w:rPr>
              <w:t>85 (0.26%)</w:t>
            </w:r>
          </w:p>
        </w:tc>
      </w:tr>
    </w:tbl>
    <w:p w14:paraId="724A8541" w14:textId="77777777" w:rsidR="006F6D34" w:rsidRDefault="006F6D34" w:rsidP="00DA2A29">
      <w:pPr>
        <w:spacing w:line="480" w:lineRule="auto"/>
        <w:rPr>
          <w:rFonts w:ascii="Times New Roman" w:hAnsi="Times New Roman" w:cs="Times New Roman"/>
        </w:rPr>
      </w:pPr>
    </w:p>
    <w:p w14:paraId="47130483" w14:textId="645C6628" w:rsidR="006F6D34" w:rsidRPr="00C951BB" w:rsidRDefault="006F6D34" w:rsidP="00DA2A29">
      <w:pPr>
        <w:spacing w:line="480" w:lineRule="auto"/>
        <w:rPr>
          <w:rFonts w:ascii="Times New Roman" w:hAnsi="Times New Roman" w:cs="Times New Roman"/>
        </w:rPr>
      </w:pPr>
      <w:r>
        <w:rPr>
          <w:rFonts w:ascii="Times New Roman" w:hAnsi="Times New Roman" w:cs="Times New Roman"/>
        </w:rPr>
        <w:t xml:space="preserve">Table 1: </w:t>
      </w:r>
      <w:r w:rsidR="00C951BB">
        <w:rPr>
          <w:rFonts w:ascii="Times New Roman" w:hAnsi="Times New Roman" w:cs="Times New Roman"/>
        </w:rPr>
        <w:t xml:space="preserve">Field sampling, pathogen testing, and </w:t>
      </w:r>
      <w:r w:rsidR="00C951BB">
        <w:rPr>
          <w:rFonts w:ascii="Times New Roman" w:hAnsi="Times New Roman" w:cs="Times New Roman"/>
          <w:i/>
          <w:iCs/>
        </w:rPr>
        <w:t xml:space="preserve">A. phagocytophilum </w:t>
      </w:r>
      <w:r w:rsidR="00C951BB">
        <w:rPr>
          <w:rFonts w:ascii="Times New Roman" w:hAnsi="Times New Roman" w:cs="Times New Roman"/>
        </w:rPr>
        <w:t xml:space="preserve">genotyping results for host-seeking tick collections where </w:t>
      </w:r>
      <w:r w:rsidR="00C951BB">
        <w:rPr>
          <w:rFonts w:ascii="Times New Roman" w:hAnsi="Times New Roman" w:cs="Times New Roman"/>
          <w:i/>
          <w:iCs/>
        </w:rPr>
        <w:t xml:space="preserve">I. scapularis </w:t>
      </w:r>
      <w:r w:rsidR="00C951BB">
        <w:rPr>
          <w:rFonts w:ascii="Times New Roman" w:hAnsi="Times New Roman" w:cs="Times New Roman"/>
        </w:rPr>
        <w:t xml:space="preserve">was the target tick species. Sampling events took place between November 2007 and April 2024. </w:t>
      </w:r>
      <w:r w:rsidR="00C951BB">
        <w:rPr>
          <w:rFonts w:ascii="Times New Roman" w:hAnsi="Times New Roman" w:cs="Times New Roman"/>
          <w:i/>
          <w:iCs/>
        </w:rPr>
        <w:t xml:space="preserve">I. scapularis </w:t>
      </w:r>
      <w:r w:rsidR="00C951BB">
        <w:rPr>
          <w:rFonts w:ascii="Times New Roman" w:hAnsi="Times New Roman" w:cs="Times New Roman"/>
        </w:rPr>
        <w:t>determined to be coinfected with Ap-ha and Ap-v1 are counted in both the coinfected row and the individual genotype rows.</w:t>
      </w:r>
    </w:p>
    <w:p w14:paraId="3B10F508" w14:textId="77777777" w:rsidR="00F12320" w:rsidRDefault="00F12320" w:rsidP="00DA2A29">
      <w:pPr>
        <w:spacing w:line="480" w:lineRule="auto"/>
        <w:rPr>
          <w:rFonts w:ascii="Times New Roman" w:hAnsi="Times New Roman" w:cs="Times New Roman"/>
        </w:rPr>
      </w:pPr>
    </w:p>
    <w:p w14:paraId="07CE3744" w14:textId="1A7EA0BC" w:rsidR="00F12320" w:rsidRDefault="00F12320" w:rsidP="00DA2A29">
      <w:pPr>
        <w:spacing w:line="480" w:lineRule="auto"/>
        <w:rPr>
          <w:rFonts w:ascii="Times New Roman" w:hAnsi="Times New Roman" w:cs="Times New Roman"/>
          <w:b/>
          <w:bCs/>
        </w:rPr>
      </w:pPr>
      <w:r>
        <w:rPr>
          <w:rFonts w:ascii="Times New Roman" w:hAnsi="Times New Roman" w:cs="Times New Roman"/>
          <w:b/>
          <w:bCs/>
        </w:rPr>
        <w:t>References:</w:t>
      </w:r>
    </w:p>
    <w:p w14:paraId="114D40E6" w14:textId="77777777" w:rsidR="00A53339" w:rsidRPr="00A53339" w:rsidRDefault="00847A43" w:rsidP="00A53339">
      <w:pPr>
        <w:pStyle w:val="Bibliography"/>
      </w:pPr>
      <w:r>
        <w:rPr>
          <w:b/>
          <w:bCs/>
        </w:rPr>
        <w:fldChar w:fldCharType="begin"/>
      </w:r>
      <w:r>
        <w:rPr>
          <w:b/>
          <w:bCs/>
        </w:rPr>
        <w:instrText xml:space="preserve"> ADDIN ZOTERO_BIBL {"uncited":[],"omitted":[],"custom":[]} CSL_BIBLIOGRAPHY </w:instrText>
      </w:r>
      <w:r>
        <w:rPr>
          <w:b/>
          <w:bCs/>
        </w:rPr>
        <w:fldChar w:fldCharType="separate"/>
      </w:r>
      <w:r w:rsidR="00A53339" w:rsidRPr="00A53339">
        <w:t>Allan, B.F., Keesing, F., Ostfeld, R.S., 2003. Effect of Forest Fragmentation on Lyme Disease Risk. Conservation Biology 17, 267–272. https://doi.org/10.1046/j.1523-1739.2003.01260.x</w:t>
      </w:r>
    </w:p>
    <w:p w14:paraId="5BBF6B41" w14:textId="77777777" w:rsidR="00A53339" w:rsidRPr="00A53339" w:rsidRDefault="00A53339" w:rsidP="00A53339">
      <w:pPr>
        <w:pStyle w:val="Bibliography"/>
      </w:pPr>
      <w:r w:rsidRPr="00A53339">
        <w:t>Alverson, W.S., Waller, D.M., Solheim, S.L., 1988. Forests Too Deer: Edge Effects in Northern Wisconsin. Conservation Biology 2, 348–358.</w:t>
      </w:r>
    </w:p>
    <w:p w14:paraId="59828330" w14:textId="77777777" w:rsidR="00A53339" w:rsidRPr="00A53339" w:rsidRDefault="00A53339" w:rsidP="00A53339">
      <w:pPr>
        <w:pStyle w:val="Bibliography"/>
      </w:pPr>
      <w:r w:rsidRPr="00A53339">
        <w:t>Bakken, J.S., 1994. Human Granulocytic Ehrlichiosis in the Upper Midwest United States: A New Species Emerging? JAMA 272, 212. https://doi.org/10.1001/jama.1994.03520030054028</w:t>
      </w:r>
    </w:p>
    <w:p w14:paraId="7EEFBBD3" w14:textId="77777777" w:rsidR="00A53339" w:rsidRPr="00A53339" w:rsidRDefault="00A53339" w:rsidP="00A53339">
      <w:pPr>
        <w:pStyle w:val="Bibliography"/>
      </w:pPr>
      <w:r w:rsidRPr="00A53339">
        <w:t>Bocinsky, R.K., 2020. FedData: Functions to Automate Downloading Geospatial Data Available from Several Federated Data Sources.</w:t>
      </w:r>
    </w:p>
    <w:p w14:paraId="4E05835D" w14:textId="77777777" w:rsidR="00A53339" w:rsidRPr="00A53339" w:rsidRDefault="00A53339" w:rsidP="00A53339">
      <w:pPr>
        <w:pStyle w:val="Bibliography"/>
      </w:pPr>
      <w:r w:rsidRPr="00A53339">
        <w:lastRenderedPageBreak/>
        <w:t>Brooks, M., E., Kristensen, K., Benthem, K., J. ,van, Magnusson, A., Berg, C., W., Nielsen, A., Skaug, H., J., Mächler, M., Bolker, B., M., 2017. glmmTMB Balances Speed and Flexibility Among Packages for Zero-inflated Generalized Linear Mixed Modeling. The R Journal 9, 378. https://doi.org/10.32614/RJ-2017-066</w:t>
      </w:r>
    </w:p>
    <w:p w14:paraId="448D6E69" w14:textId="77777777" w:rsidR="00A53339" w:rsidRPr="00A53339" w:rsidRDefault="00A53339" w:rsidP="00A53339">
      <w:pPr>
        <w:pStyle w:val="Bibliography"/>
      </w:pPr>
      <w:r w:rsidRPr="00A53339">
        <w:t>Brownstein, J.S., Skelly, D.K., Holford, T.R., Fish, D., 2005. Forest fragmentation predicts local scale heterogeneity of Lyme disease risk. Oecologia 146, 469–475. https://doi.org/10.1007/s00442-005-0251-9</w:t>
      </w:r>
    </w:p>
    <w:p w14:paraId="00D19401" w14:textId="77777777" w:rsidR="00A53339" w:rsidRPr="00A53339" w:rsidRDefault="00A53339" w:rsidP="00A53339">
      <w:pPr>
        <w:pStyle w:val="Bibliography"/>
      </w:pPr>
      <w:r w:rsidRPr="00A53339">
        <w:t>Chen, S.M., Dumler, J.S., Bakken, J.S., Walker, D.H., 1994. Identification of a granulocytotropic Ehrlichia species as the etiologic agent of human disease. J. Clin. Microbiol. 32, 589–595. https://doi.org/10.1128/JCM.32.3.589-595.1994</w:t>
      </w:r>
    </w:p>
    <w:p w14:paraId="0327A663" w14:textId="77777777" w:rsidR="00A53339" w:rsidRPr="00A53339" w:rsidRDefault="00A53339" w:rsidP="00A53339">
      <w:pPr>
        <w:pStyle w:val="Bibliography"/>
      </w:pPr>
      <w:r w:rsidRPr="00A53339">
        <w:t>Cooper, M., 2020. moranfast: Conduct a Quick and Memory-Efficient Moran’s I Test.</w:t>
      </w:r>
    </w:p>
    <w:p w14:paraId="2326C40A" w14:textId="77777777" w:rsidR="00A53339" w:rsidRPr="00A53339" w:rsidRDefault="00A53339" w:rsidP="00A53339">
      <w:pPr>
        <w:pStyle w:val="Bibliography"/>
      </w:pPr>
      <w:r w:rsidRPr="00A53339">
        <w:t>Dahlgren, F.S., Heitman, K.N., Drexler, N.A., Massung, R.F., Behravesh, C.B., 2015. Human Granulocytic Anaplasmosis in the United States from 2008 to 2012: A Summary of National Surveillance Data. The American Journal of Tropical Medicine and Hygiene 93, 66–72. https://doi.org/10.4269/ajtmh.15-0122</w:t>
      </w:r>
    </w:p>
    <w:p w14:paraId="213B68B8" w14:textId="77777777" w:rsidR="00A53339" w:rsidRPr="00A53339" w:rsidRDefault="00A53339" w:rsidP="00A53339">
      <w:pPr>
        <w:pStyle w:val="Bibliography"/>
      </w:pPr>
      <w:r w:rsidRPr="00A53339">
        <w:t>Dechen Quinn, A.C., Williams, D.M., Porter, W.F., 2013. Landscape structure influences space use by white-tailed deer. J Mammal 94, 398–407. https://doi.org/10.1644/11-MAMM-A-221.1</w:t>
      </w:r>
    </w:p>
    <w:p w14:paraId="7F2D250F" w14:textId="77777777" w:rsidR="00A53339" w:rsidRPr="00A53339" w:rsidRDefault="00A53339" w:rsidP="00A53339">
      <w:pPr>
        <w:pStyle w:val="Bibliography"/>
      </w:pPr>
      <w:r w:rsidRPr="00A53339">
        <w:t>Dewitz, J., 2021. National Land Cover Database (NLCD) 2019 Products. https://doi.org/10.5066/P9KZCM54</w:t>
      </w:r>
    </w:p>
    <w:p w14:paraId="01F39A37" w14:textId="77777777" w:rsidR="00A53339" w:rsidRPr="00A53339" w:rsidRDefault="00A53339" w:rsidP="00A53339">
      <w:pPr>
        <w:pStyle w:val="Bibliography"/>
      </w:pPr>
      <w:r w:rsidRPr="00A53339">
        <w:t>Diuk-Wasser, M.A., VanAcker, M.C., Fernandez, M.P., 2021. Impact of Land Use Changes and Habitat Fragmentation on the Eco-epidemiology of Tick-Borne Diseases. Journal of Medical Entomology 58, 1546–1564. https://doi.org/10.1093/jme/tjaa209</w:t>
      </w:r>
    </w:p>
    <w:p w14:paraId="796FDF1B" w14:textId="77777777" w:rsidR="00A53339" w:rsidRPr="00A53339" w:rsidRDefault="00A53339" w:rsidP="00A53339">
      <w:pPr>
        <w:pStyle w:val="Bibliography"/>
      </w:pPr>
      <w:r w:rsidRPr="00A53339">
        <w:t>Dugat, T., Chastagner, A., Lagrée, A.-C., Petit, E., Durand, B., Thierry, S., Corbière, F., Verheyden, H., Chabanne, L., Bailly, X., Leblond, A., Vourc’h, G., Boulouis, H.-J., Maillard, R., Haddad, N., 2014. A new multiple-locus variable-number tandem repeat analysis reveals different clusters for Anaplasma phagocytophilum circulating in domestic and wild ruminants. Parasites Vectors 7, 439. https://doi.org/10.1186/1756-3305-7-439</w:t>
      </w:r>
    </w:p>
    <w:p w14:paraId="53CF18AE" w14:textId="77777777" w:rsidR="00A53339" w:rsidRPr="00A53339" w:rsidRDefault="00A53339" w:rsidP="00A53339">
      <w:pPr>
        <w:pStyle w:val="Bibliography"/>
      </w:pPr>
      <w:r w:rsidRPr="00A53339">
        <w:t>Dumler, J.S., Barbet, A.F., Bekker, C.P., Dasch, G.A., Palmer, G.H., Ray, S.C., Rikihisa, Y., Rurangirwa, F.R., 2001. Reorganization of genera in the families Rickettsiaceae and Anaplasmataceae in the order Rickettsiales: unification of some species of Ehrlichia with Anaplasma, Cowdria with Ehrlichia and Ehrlichia with Neorickettsia, descriptions of six new species combinations and designation of Ehrlichia equi and “HGE agent” as subjective synonyms of Ehrlichia phagocytophila. International Journal of Systematic and Evolutionary Microbiology 51, 2145–2165. https://doi.org/10.1099/00207713-51-6-2145</w:t>
      </w:r>
    </w:p>
    <w:p w14:paraId="4AF29E28" w14:textId="77777777" w:rsidR="00A53339" w:rsidRPr="00A53339" w:rsidRDefault="00A53339" w:rsidP="00A53339">
      <w:pPr>
        <w:pStyle w:val="Bibliography"/>
      </w:pPr>
      <w:r w:rsidRPr="00A53339">
        <w:t xml:space="preserve">Eisen, R.J., Eisen, L., Beard, C.B., 2016. County-Scale Distribution of </w:t>
      </w:r>
      <w:r w:rsidRPr="00A53339">
        <w:rPr>
          <w:i/>
          <w:iCs/>
        </w:rPr>
        <w:t>Ixodes scapularis</w:t>
      </w:r>
      <w:r w:rsidRPr="00A53339">
        <w:t xml:space="preserve"> and </w:t>
      </w:r>
      <w:r w:rsidRPr="00A53339">
        <w:rPr>
          <w:i/>
          <w:iCs/>
        </w:rPr>
        <w:t>Ixodes pacificus</w:t>
      </w:r>
      <w:r w:rsidRPr="00A53339">
        <w:t xml:space="preserve"> (Acari: Ixodidae) in the Continental United States. J Med Entomol 53, 349–386. https://doi.org/10.1093/jme/tjv237</w:t>
      </w:r>
    </w:p>
    <w:p w14:paraId="58AA414B" w14:textId="77777777" w:rsidR="00A53339" w:rsidRPr="00A53339" w:rsidRDefault="00A53339" w:rsidP="00A53339">
      <w:pPr>
        <w:pStyle w:val="Bibliography"/>
      </w:pPr>
      <w:r w:rsidRPr="00A53339">
        <w:t xml:space="preserve">Foley, N., O’Connor, C., Falco, R.C., Vinci, V., Oliver, J., Haight, J., Sporn, L.A., Harrington, L., Mader, E., Wroblewski, D., Backenson, P.B., Prusinski, M.A., 2023. Spatiotemporal distribution of </w:t>
      </w:r>
      <w:r w:rsidRPr="00A53339">
        <w:rPr>
          <w:i/>
          <w:iCs/>
        </w:rPr>
        <w:t>Borrelia miyamotoi</w:t>
      </w:r>
      <w:r w:rsidRPr="00A53339">
        <w:t xml:space="preserve"> (Spirochaetales: Spirochaetaceae) and coinfection with other tick-borne pathogens in host-seeking </w:t>
      </w:r>
      <w:r w:rsidRPr="00A53339">
        <w:rPr>
          <w:i/>
          <w:iCs/>
        </w:rPr>
        <w:lastRenderedPageBreak/>
        <w:t>Ixodes scapularis</w:t>
      </w:r>
      <w:r w:rsidRPr="00A53339">
        <w:t xml:space="preserve"> (Acari: Ixodidae) from New York State, USA. Journal of Medical Entomology 60, 808–821. https://doi.org/10.1093/jme/tjad054</w:t>
      </w:r>
    </w:p>
    <w:p w14:paraId="1697AF25" w14:textId="77777777" w:rsidR="00A53339" w:rsidRPr="00A53339" w:rsidRDefault="00A53339" w:rsidP="00A53339">
      <w:pPr>
        <w:pStyle w:val="Bibliography"/>
      </w:pPr>
      <w:r w:rsidRPr="00A53339">
        <w:t>Girardet, X., Conruyt-Rogeon, G., Foltête, J.-C., 2015. Does regional landscape connectivity influence the location of roe deer roadkill hotspots? Eur J Wildl Res 61, 731–742. https://doi.org/10.1007/s10344-015-0950-4</w:t>
      </w:r>
    </w:p>
    <w:p w14:paraId="5426CA33" w14:textId="77777777" w:rsidR="00A53339" w:rsidRPr="00A53339" w:rsidRDefault="00A53339" w:rsidP="00A53339">
      <w:pPr>
        <w:pStyle w:val="Bibliography"/>
      </w:pPr>
      <w:r w:rsidRPr="00A53339">
        <w:t>Gurrutxaga, M., Rubio, L., Saura, S., 2011. Key connectors in protected forest area networks and the impact of highways: A transnational case study from the Cantabrian Range to the Western Alps (SW Europe). Landscape and Urban Planning 101, 310–320. https://doi.org/10.1016/j.landurbplan.2011.02.036</w:t>
      </w:r>
    </w:p>
    <w:p w14:paraId="6F27E35C" w14:textId="77777777" w:rsidR="00A53339" w:rsidRPr="00A53339" w:rsidRDefault="00A53339" w:rsidP="00A53339">
      <w:pPr>
        <w:pStyle w:val="Bibliography"/>
      </w:pPr>
      <w:r w:rsidRPr="00A53339">
        <w:t>Harveson, P.M., Lopez, R.R., Collier, B.A., Silvy, N.J., 2007. Impacts of urbanization on Florida Key deer behavior and population dynamics. Biological Conservation 134, 321–331. https://doi.org/10.1016/j.biocon.2006.07.022</w:t>
      </w:r>
    </w:p>
    <w:p w14:paraId="684A42A5" w14:textId="77777777" w:rsidR="00A53339" w:rsidRPr="00A53339" w:rsidRDefault="00A53339" w:rsidP="00A53339">
      <w:pPr>
        <w:pStyle w:val="Bibliography"/>
      </w:pPr>
      <w:r w:rsidRPr="00A53339">
        <w:t xml:space="preserve">Hesselbarth, M.H.K., Sciaini, M., With, K.A., Wiegand, K., Nowosad, J., 2019. </w:t>
      </w:r>
      <w:r w:rsidRPr="00A53339">
        <w:rPr>
          <w:i/>
          <w:iCs/>
        </w:rPr>
        <w:t>landscapemetrics</w:t>
      </w:r>
      <w:r w:rsidRPr="00A53339">
        <w:rPr>
          <w:rFonts w:ascii="Arial" w:hAnsi="Arial" w:cs="Arial"/>
        </w:rPr>
        <w:t> </w:t>
      </w:r>
      <w:r w:rsidRPr="00A53339">
        <w:t>: an open</w:t>
      </w:r>
      <w:r w:rsidRPr="00A53339">
        <w:rPr>
          <w:rFonts w:ascii="Cambria Math" w:hAnsi="Cambria Math" w:cs="Cambria Math"/>
        </w:rPr>
        <w:t>‐</w:t>
      </w:r>
      <w:r w:rsidRPr="00A53339">
        <w:t xml:space="preserve">source </w:t>
      </w:r>
      <w:r w:rsidRPr="00A53339">
        <w:rPr>
          <w:i/>
          <w:iCs/>
        </w:rPr>
        <w:t>R</w:t>
      </w:r>
      <w:r w:rsidRPr="00A53339">
        <w:t xml:space="preserve"> tool to calculate landscape metrics. Ecography 42, 1648–1657. https://doi.org/10.1111/ecog.04617</w:t>
      </w:r>
    </w:p>
    <w:p w14:paraId="03EBA875" w14:textId="77777777" w:rsidR="00A53339" w:rsidRPr="00A53339" w:rsidRDefault="00A53339" w:rsidP="00A53339">
      <w:pPr>
        <w:pStyle w:val="Bibliography"/>
      </w:pPr>
      <w:r w:rsidRPr="00A53339">
        <w:t>Hinton, J.W., Hurst, J.E., Kramer, D.W., Stickles, J.H., Frair, J.L., 2022. A model-based estimate of winter distribution and abundance of white-tailed deer in the Adirondack Park. PLoS ONE 17, e0273707. https://doi.org/10.1371/journal.pone.0273707</w:t>
      </w:r>
    </w:p>
    <w:p w14:paraId="02AA554B" w14:textId="77777777" w:rsidR="00A53339" w:rsidRPr="00A53339" w:rsidRDefault="00A53339" w:rsidP="00A53339">
      <w:pPr>
        <w:pStyle w:val="Bibliography"/>
      </w:pPr>
      <w:r w:rsidRPr="00A53339">
        <w:t>Huang, C.-I., Kay, S.C., Davis, S., Tufts, D.M., Gaffett, K., Tefft, B., Diuk-Wasser, M.A., 2019. High burdens of Ixodes scapularis larval ticks on white-tailed deer may limit Lyme disease risk in a low biodiversity setting. Ticks and Tick-borne Diseases 10, 258–268. https://doi.org/10.1016/j.ttbdis.2018.10.013</w:t>
      </w:r>
    </w:p>
    <w:p w14:paraId="5B96C7FB" w14:textId="77777777" w:rsidR="00A53339" w:rsidRPr="00A53339" w:rsidRDefault="00A53339" w:rsidP="00A53339">
      <w:pPr>
        <w:pStyle w:val="Bibliography"/>
      </w:pPr>
      <w:r w:rsidRPr="00A53339">
        <w:t>Hurst, J.E., Porter, W.F., 2008. Evaluation of Shifts in White-Tailed Deer Winter Yards in the Adirondack Region of New York. Journal of Wildlife Management 72, 367–375. https://doi.org/10.2193/2006-421</w:t>
      </w:r>
    </w:p>
    <w:p w14:paraId="4282C8B2" w14:textId="77777777" w:rsidR="00A53339" w:rsidRPr="00A53339" w:rsidRDefault="00A53339" w:rsidP="00A53339">
      <w:pPr>
        <w:pStyle w:val="Bibliography"/>
      </w:pPr>
      <w:r w:rsidRPr="00A53339">
        <w:t>Keeley, A.T.H., Beier, P., Jenness, J.S., 2021. Connectivity metrics for conservation planning and monitoring. Biological Conservation 255, 109008. https://doi.org/10.1016/j.biocon.2021.109008</w:t>
      </w:r>
    </w:p>
    <w:p w14:paraId="2E5A1D59" w14:textId="77777777" w:rsidR="00A53339" w:rsidRPr="00A53339" w:rsidRDefault="00A53339" w:rsidP="00A53339">
      <w:pPr>
        <w:pStyle w:val="Bibliography"/>
      </w:pPr>
      <w:r w:rsidRPr="00A53339">
        <w:t>Keesing, F., Tilley, E., Mowry, S., Adish, S., Bremer, W., Duerr, S., Evans, A.S., Fischhoff, I.R., Keating, F., Pendleton, J., Pfister, A., Teator, M., Ostfeld, R.S., 2023. Spatial variation in risk for tick-borne diseases in residential areas of Dutchess County, New York. PLoS ONE 18, e0293820. https://doi.org/10.1371/journal.pone.0293820</w:t>
      </w:r>
    </w:p>
    <w:p w14:paraId="52249A26" w14:textId="77777777" w:rsidR="00A53339" w:rsidRPr="00A53339" w:rsidRDefault="00A53339" w:rsidP="00A53339">
      <w:pPr>
        <w:pStyle w:val="Bibliography"/>
      </w:pPr>
      <w:r w:rsidRPr="00A53339">
        <w:t xml:space="preserve">Keirans, J.E., Clifford, C.M., 1978. The genus </w:t>
      </w:r>
      <w:r w:rsidRPr="00A53339">
        <w:rPr>
          <w:i/>
          <w:iCs/>
        </w:rPr>
        <w:t xml:space="preserve"> Ixodes </w:t>
      </w:r>
      <w:r w:rsidRPr="00A53339">
        <w:t>in the United States: a scanning electron microscope study and key to the adults. J Med Entomol 2, 1–149.</w:t>
      </w:r>
    </w:p>
    <w:p w14:paraId="613A9432" w14:textId="77777777" w:rsidR="00A53339" w:rsidRPr="00A53339" w:rsidRDefault="00A53339" w:rsidP="00A53339">
      <w:pPr>
        <w:pStyle w:val="Bibliography"/>
      </w:pPr>
      <w:r w:rsidRPr="00A53339">
        <w:t xml:space="preserve">Keirans, J.E., Hutcheson, H.J., Durden, L.A., Klompen, J.S., 1996. </w:t>
      </w:r>
      <w:r w:rsidRPr="00A53339">
        <w:rPr>
          <w:i/>
          <w:iCs/>
        </w:rPr>
        <w:t>Ixodes (Ixodes) scapularis</w:t>
      </w:r>
      <w:r w:rsidRPr="00A53339">
        <w:t xml:space="preserve"> (Acari:Ixodidae): redescription of all active stages, distribution, hosts, geographical variation, and medical and veterinary importance. J Med Entomol 33, 297–318. https://doi.org/10.1093/jmedent/33.3.297</w:t>
      </w:r>
    </w:p>
    <w:p w14:paraId="1F542DB0" w14:textId="77777777" w:rsidR="00A53339" w:rsidRPr="00A53339" w:rsidRDefault="00A53339" w:rsidP="00A53339">
      <w:pPr>
        <w:pStyle w:val="Bibliography"/>
      </w:pPr>
      <w:r w:rsidRPr="00A53339">
        <w:t xml:space="preserve">Khatchikian, C.E., Prusinski, M., Stone, M., Backenson, P.B., Wang, I.-N., Levy, M.Z., Brisson, D., 2012. Geographical and environmental factors driving the increase in the Lyme disease vector </w:t>
      </w:r>
      <w:r w:rsidRPr="00A53339">
        <w:rPr>
          <w:i/>
          <w:iCs/>
        </w:rPr>
        <w:t>Ixodes scapularis</w:t>
      </w:r>
      <w:r w:rsidRPr="00A53339">
        <w:t>. Ecosphere 3, art85. https://doi.org/10.1890/ES12-00134.1</w:t>
      </w:r>
    </w:p>
    <w:p w14:paraId="7B698583" w14:textId="77777777" w:rsidR="00A53339" w:rsidRPr="00A53339" w:rsidRDefault="00A53339" w:rsidP="00A53339">
      <w:pPr>
        <w:pStyle w:val="Bibliography"/>
      </w:pPr>
      <w:r w:rsidRPr="00A53339">
        <w:lastRenderedPageBreak/>
        <w:t xml:space="preserve">Khatchikian, C.E., Prusinski, M.A., Stone, M., Backenson, P.B., Wang, I.-N., Foley, E., Seifert, S.N., Levy, M.Z., Brisson, D., 2015. Recent and rapid population growth and range expansion of the Lyme disease tick vector, </w:t>
      </w:r>
      <w:r w:rsidRPr="00A53339">
        <w:rPr>
          <w:i/>
          <w:iCs/>
        </w:rPr>
        <w:t>Ixodes scapularis</w:t>
      </w:r>
      <w:r w:rsidRPr="00A53339">
        <w:t xml:space="preserve"> , in North America: POPULATION AND RANGE EXPANSION OF TICKS. Evolution 69, 1678–1689. https://doi.org/10.1111/evo.12690</w:t>
      </w:r>
    </w:p>
    <w:p w14:paraId="1A33E4DC" w14:textId="77777777" w:rsidR="00A53339" w:rsidRPr="00A53339" w:rsidRDefault="00A53339" w:rsidP="00A53339">
      <w:pPr>
        <w:pStyle w:val="Bibliography"/>
      </w:pPr>
      <w:r w:rsidRPr="00A53339">
        <w:t>Killilea, M.E., Swei, A., Lane, R.S., Briggs, C.J., Ostfeld, R.S., 2008. Spatial Dynamics of Lyme Disease: A Review. EcoHealth 5, 167–195. https://doi.org/10.1007/s10393-008-0171-3</w:t>
      </w:r>
    </w:p>
    <w:p w14:paraId="53DF7F8C" w14:textId="77777777" w:rsidR="00A53339" w:rsidRPr="00A53339" w:rsidRDefault="00A53339" w:rsidP="00A53339">
      <w:pPr>
        <w:pStyle w:val="Bibliography"/>
      </w:pPr>
      <w:r w:rsidRPr="00A53339">
        <w:t>Kremsater, L.L., Bunnell, F.L., 1992. Testing responses to forest edges: the example of black-tailed deer. Can. J. Zool. 70, 2426–2435. https://doi.org/10.1139/z92-326</w:t>
      </w:r>
    </w:p>
    <w:p w14:paraId="402CFD78" w14:textId="77777777" w:rsidR="00A53339" w:rsidRPr="00A53339" w:rsidRDefault="00A53339" w:rsidP="00A53339">
      <w:pPr>
        <w:pStyle w:val="Bibliography"/>
      </w:pPr>
      <w:r w:rsidRPr="00A53339">
        <w:t>Leopold, A., 1933. Game management. Charles Scribner’s Sons, New York.</w:t>
      </w:r>
    </w:p>
    <w:p w14:paraId="1904B5BE" w14:textId="77777777" w:rsidR="00A53339" w:rsidRPr="00A53339" w:rsidRDefault="00A53339" w:rsidP="00A53339">
      <w:pPr>
        <w:pStyle w:val="Bibliography"/>
      </w:pPr>
      <w:r w:rsidRPr="00A53339">
        <w:t>Lewis, J., 2023. leastcostpath: Modelling Pathways and Movement Potential Within a Landscape.</w:t>
      </w:r>
    </w:p>
    <w:p w14:paraId="64BD08FF" w14:textId="77777777" w:rsidR="00A53339" w:rsidRPr="00A53339" w:rsidRDefault="00A53339" w:rsidP="00A53339">
      <w:pPr>
        <w:pStyle w:val="Bibliography"/>
      </w:pPr>
      <w:r w:rsidRPr="00A53339">
        <w:t xml:space="preserve">Massung, R.F., Courtney, J.W., Hiratzka, S.L., Pitzer, V.E., Smith, G., Dryden, R.L., 2005. </w:t>
      </w:r>
      <w:r w:rsidRPr="00A53339">
        <w:rPr>
          <w:i/>
          <w:iCs/>
        </w:rPr>
        <w:t xml:space="preserve">Anaplasma phagocytophilum </w:t>
      </w:r>
      <w:r w:rsidRPr="00A53339">
        <w:t xml:space="preserve"> in White-tailed Deer. Emerg Infect Dis 11, 1604–1606. https://doi.org/10.3201/eid1110.041329</w:t>
      </w:r>
    </w:p>
    <w:p w14:paraId="430F09B6" w14:textId="77777777" w:rsidR="00A53339" w:rsidRPr="00A53339" w:rsidRDefault="00A53339" w:rsidP="00A53339">
      <w:pPr>
        <w:pStyle w:val="Bibliography"/>
      </w:pPr>
      <w:r w:rsidRPr="00A53339">
        <w:t xml:space="preserve">Massung, Robert F., Mather, T.N., Priestley, R.A., Levin, M.L., 2003. Transmission Efficiency of the AP-Variant 1 Strain of </w:t>
      </w:r>
      <w:r w:rsidRPr="00A53339">
        <w:rPr>
          <w:i/>
          <w:iCs/>
        </w:rPr>
        <w:t xml:space="preserve"> Anaplasma phagocytophila </w:t>
      </w:r>
      <w:r w:rsidRPr="00A53339">
        <w:t>. Ann N Y Acad Sci 990, 75–79. https://doi.org/10.1111/j.1749-6632.2003.tb07340.x</w:t>
      </w:r>
    </w:p>
    <w:p w14:paraId="32F45440" w14:textId="77777777" w:rsidR="00A53339" w:rsidRPr="00A53339" w:rsidRDefault="00A53339" w:rsidP="00A53339">
      <w:pPr>
        <w:pStyle w:val="Bibliography"/>
      </w:pPr>
      <w:r w:rsidRPr="00A53339">
        <w:t xml:space="preserve">Massung, R.F., Mauel, M.J., Owens, J.H., Allan, N., Courtney, J.W., Stafford, K.C., Mather, T.N., 2002. Genetic Variants of </w:t>
      </w:r>
      <w:r w:rsidRPr="00A53339">
        <w:rPr>
          <w:i/>
          <w:iCs/>
        </w:rPr>
        <w:t>Ehrlichia phagocytophila</w:t>
      </w:r>
      <w:r w:rsidRPr="00A53339">
        <w:t xml:space="preserve"> 1 </w:t>
      </w:r>
      <w:r w:rsidRPr="00A53339">
        <w:rPr>
          <w:i/>
          <w:iCs/>
        </w:rPr>
        <w:t>,</w:t>
      </w:r>
      <w:r w:rsidRPr="00A53339">
        <w:t xml:space="preserve"> Rhode Island and Connecticut. Emerg. Infect. Dis. 8, 467–472. https://doi.org/10.3201/eid0805.010251</w:t>
      </w:r>
    </w:p>
    <w:p w14:paraId="6250D983" w14:textId="77777777" w:rsidR="00A53339" w:rsidRPr="00A53339" w:rsidRDefault="00A53339" w:rsidP="00A53339">
      <w:pPr>
        <w:pStyle w:val="Bibliography"/>
      </w:pPr>
      <w:r w:rsidRPr="00A53339">
        <w:t xml:space="preserve">Massung, Robert F., Priestley, R.A., Miller, N.J., Mather, T.N., Levin, M.L., 2003. Inability of a Variant Strain of </w:t>
      </w:r>
      <w:r w:rsidRPr="00A53339">
        <w:rPr>
          <w:i/>
          <w:iCs/>
        </w:rPr>
        <w:t>Anaplasma phagocytophilum</w:t>
      </w:r>
      <w:r w:rsidRPr="00A53339">
        <w:t xml:space="preserve"> to Infect Mice. J Infect Dis 188, 1757–1763. https://doi.org/10.1086/379725</w:t>
      </w:r>
    </w:p>
    <w:p w14:paraId="52B5749E" w14:textId="77777777" w:rsidR="00A53339" w:rsidRPr="00A53339" w:rsidRDefault="00A53339" w:rsidP="00A53339">
      <w:pPr>
        <w:pStyle w:val="Bibliography"/>
      </w:pPr>
      <w:r w:rsidRPr="00A53339">
        <w:t>Mather, T.N., Wilson, M.L., Moore, S.I., Ribeiro, J.M.C., Spielman, A., 1989. COMPARING THE RELATIVE POTENTIAL OF RODENTS AS RESERVOIRS OF THE LYME DISEASE SPIROCHETE (BORRELIABURGDORFERI). American Journal of Epidemiology 130, 143–150. https://doi.org/10.1093/oxfordjournals.aje.a115306</w:t>
      </w:r>
    </w:p>
    <w:p w14:paraId="1647BF2C" w14:textId="77777777" w:rsidR="00A53339" w:rsidRPr="00A53339" w:rsidRDefault="00A53339" w:rsidP="00A53339">
      <w:pPr>
        <w:pStyle w:val="Bibliography"/>
      </w:pPr>
      <w:r w:rsidRPr="00A53339">
        <w:t>Maurer, A.S., Cove, M.V., Siegal, O.M., Lashley, M.A., 2022. Urbanization affects the behavior of a predator-free ungulate in protected lands. Landscape and Urban Planning 222, 104391. https://doi.org/10.1016/j.landurbplan.2022.104391</w:t>
      </w:r>
    </w:p>
    <w:p w14:paraId="597DB26E" w14:textId="77777777" w:rsidR="00A53339" w:rsidRPr="00A53339" w:rsidRDefault="00A53339" w:rsidP="00A53339">
      <w:pPr>
        <w:pStyle w:val="Bibliography"/>
      </w:pPr>
      <w:r w:rsidRPr="00A53339">
        <w:t>McRae, B.H., 2012. Centrality Mapper Connectivity Analysis Software.</w:t>
      </w:r>
    </w:p>
    <w:p w14:paraId="46330FAF" w14:textId="77777777" w:rsidR="00A53339" w:rsidRPr="00A53339" w:rsidRDefault="00A53339" w:rsidP="00A53339">
      <w:pPr>
        <w:pStyle w:val="Bibliography"/>
      </w:pPr>
      <w:r w:rsidRPr="00A53339">
        <w:t>McRae, B.H., 2006. Isolation by resistance. Evolution 60, 1551–1561.</w:t>
      </w:r>
    </w:p>
    <w:p w14:paraId="2FED91BB" w14:textId="77777777" w:rsidR="00A53339" w:rsidRPr="00A53339" w:rsidRDefault="00A53339" w:rsidP="00A53339">
      <w:pPr>
        <w:pStyle w:val="Bibliography"/>
      </w:pPr>
      <w:r w:rsidRPr="00A53339">
        <w:t>McRae, B.H., Beier, P., 2007. Circuit theory predicts gene flow in plant and animal populations. Proc. Natl. Acad. Sci. U.S.A. 104, 19885–19890. https://doi.org/10.1073/pnas.0706568104</w:t>
      </w:r>
    </w:p>
    <w:p w14:paraId="47FC6EA7" w14:textId="77777777" w:rsidR="00A53339" w:rsidRPr="00A53339" w:rsidRDefault="00A53339" w:rsidP="00A53339">
      <w:pPr>
        <w:pStyle w:val="Bibliography"/>
      </w:pPr>
      <w:r w:rsidRPr="00A53339">
        <w:t>McRae, B.H., Dickson, B.G., Keitt, T.H., Shah, V.B., 2008. USING CIRCUIT THEORY TO MODEL CONNECTIVITY IN ECOLOGY, EVOLUTION, AND CONSERVATION. Ecology 89, 2712–2724. https://doi.org/10.1890/07-1861.1</w:t>
      </w:r>
    </w:p>
    <w:p w14:paraId="3A2DCD97" w14:textId="77777777" w:rsidR="00A53339" w:rsidRPr="00A53339" w:rsidRDefault="00A53339" w:rsidP="00A53339">
      <w:pPr>
        <w:pStyle w:val="Bibliography"/>
      </w:pPr>
      <w:r w:rsidRPr="00A53339">
        <w:t>Miyashita, T., Suzuki, M., Ando, D., Fujita, G., Ochiai, K., Asada, M., 2008. Forest edge creates small-scale variation in reproductive rate of sika deer. Population Ecology 50, 111–120. https://doi.org/10.1007/s10144-007-0068-y</w:t>
      </w:r>
    </w:p>
    <w:p w14:paraId="0A34FA4B" w14:textId="77777777" w:rsidR="00A53339" w:rsidRPr="00A53339" w:rsidRDefault="00A53339" w:rsidP="00A53339">
      <w:pPr>
        <w:pStyle w:val="Bibliography"/>
      </w:pPr>
      <w:r w:rsidRPr="00A53339">
        <w:lastRenderedPageBreak/>
        <w:t>Moran, P.A.P., 1950. Notes on Continuous Stochastic Phenomena. Biometrika 37, 17. https://doi.org/10.2307/2332142</w:t>
      </w:r>
    </w:p>
    <w:p w14:paraId="2D72B9F5" w14:textId="77777777" w:rsidR="00A53339" w:rsidRPr="00A53339" w:rsidRDefault="00A53339" w:rsidP="00A53339">
      <w:pPr>
        <w:pStyle w:val="Bibliography"/>
      </w:pPr>
      <w:r w:rsidRPr="00A53339">
        <w:t>Norman, R., Bowers, R.G., Begon, M., Hudson, P.J., 1999. Persistence of Tick-borne Virus in the Presence of Multiple Host Species: Tick Reservoirs and Parasite Mediated Competition. Journal of Theoretical Biology 200, 111–118. https://doi.org/10.1006/jtbi.1999.0982</w:t>
      </w:r>
    </w:p>
    <w:p w14:paraId="2554B403" w14:textId="77777777" w:rsidR="00A53339" w:rsidRPr="00A53339" w:rsidRDefault="00A53339" w:rsidP="00A53339">
      <w:pPr>
        <w:pStyle w:val="Bibliography"/>
      </w:pPr>
      <w:r w:rsidRPr="00A53339">
        <w:t>Nupp, T.E., Swihart, R.K., 1998. Effects of Forest Fragmentation on Population Attributes of White-Footed Mice and Eastern Chipmunks. Journal of Mammalogy 79, 1234–1243. https://doi.org/10.2307/1383014</w:t>
      </w:r>
    </w:p>
    <w:p w14:paraId="3D8A9FEC" w14:textId="77777777" w:rsidR="00A53339" w:rsidRPr="00A53339" w:rsidRDefault="00A53339" w:rsidP="00A53339">
      <w:pPr>
        <w:pStyle w:val="Bibliography"/>
      </w:pPr>
      <w:r w:rsidRPr="00A53339">
        <w:t>O’Connor, C., Prusinski, M.A., Aldstadt, J., Falco, R.C., Oliver, J., Haight, J., Tober, K., Sporn, L.A., White, J., Brisson, D., Backenson, P.B., 2024. Assessing the impact of areal unit selection and the modifiable areal unit problem on associative statistics between cases of tick-borne disease and entomological indices. Journal of Medical Entomology 61, 331–344. https://doi.org/10.1093/jme/tjad157</w:t>
      </w:r>
    </w:p>
    <w:p w14:paraId="0A25E97E" w14:textId="77777777" w:rsidR="00A53339" w:rsidRPr="00A53339" w:rsidRDefault="00A53339" w:rsidP="00A53339">
      <w:pPr>
        <w:pStyle w:val="Bibliography"/>
      </w:pPr>
      <w:r w:rsidRPr="00A53339">
        <w:t>O’Connor, C., Prusinski, M.A., Jiang, S., Russell, A., White, J., Falco, R., Kokas, J., Vinci, V., Gall, W., Tober, K., Haight, J., Oliver, J., Meehan, L., Sporn, L.A., Brisson, D., Backenson, P.B., 2021. A Comparative Spatial and Climate Analysis of Human Granulocytic Anaplasmosis and Human Babesiosis in New York State (2013–2018). J Med Entomol 58, 2453–2466. https://doi.org/10.1093/jme/tjab107</w:t>
      </w:r>
    </w:p>
    <w:p w14:paraId="6B7B488F" w14:textId="77777777" w:rsidR="00A53339" w:rsidRPr="00A53339" w:rsidRDefault="00A53339" w:rsidP="00A53339">
      <w:pPr>
        <w:pStyle w:val="Bibliography"/>
      </w:pPr>
      <w:r w:rsidRPr="00A53339">
        <w:t>Ogden, N.H., Tsao, J.I., 2009. Biodiversity and Lyme disease: Dilution or amplification? Epidemics 1, 196–206. https://doi.org/10.1016/j.epidem.2009.06.002</w:t>
      </w:r>
    </w:p>
    <w:p w14:paraId="739B8238" w14:textId="77777777" w:rsidR="00A53339" w:rsidRPr="00A53339" w:rsidRDefault="00A53339" w:rsidP="00A53339">
      <w:pPr>
        <w:pStyle w:val="Bibliography"/>
      </w:pPr>
      <w:r w:rsidRPr="00A53339">
        <w:t>Ostfeld, Richard S., Keesing, F., 2000. Biodiversity and Disease Risk: the Case of Lyme Disease. Conservation Biology 14, 722–728. https://doi.org/10.1046/j.1523-1739.2000.99014.x</w:t>
      </w:r>
    </w:p>
    <w:p w14:paraId="2FDF8A51" w14:textId="77777777" w:rsidR="00A53339" w:rsidRPr="00A53339" w:rsidRDefault="00A53339" w:rsidP="00A53339">
      <w:pPr>
        <w:pStyle w:val="Bibliography"/>
      </w:pPr>
      <w:r w:rsidRPr="00A53339">
        <w:t>Ostfeld, Richard S, Keesing, F., 2000. Biodiversity series: The function of biodiversity in the ecology of vector-borne zoonotic diseases. Can. J. Zool. 78, 2061–2078. https://doi.org/10.1139/z00-172</w:t>
      </w:r>
    </w:p>
    <w:p w14:paraId="2DCA1587" w14:textId="77777777" w:rsidR="00A53339" w:rsidRPr="00A53339" w:rsidRDefault="00A53339" w:rsidP="00A53339">
      <w:pPr>
        <w:pStyle w:val="Bibliography"/>
      </w:pPr>
      <w:r w:rsidRPr="00A53339">
        <w:t>Peterson, M.N., Lopez, R.R., Laurent, E.J., Frank, P.A., Silvy, N.J., Liu, J., 2005. Wildlife Loss through Domestication: the Case of Endangered Key Deer. Conservation Biology 19, 939–944. https://doi.org/10.1111/j.1523-1739.2005.00069.x</w:t>
      </w:r>
    </w:p>
    <w:p w14:paraId="3CA89630" w14:textId="77777777" w:rsidR="00A53339" w:rsidRPr="00A53339" w:rsidRDefault="00A53339" w:rsidP="00A53339">
      <w:pPr>
        <w:pStyle w:val="Bibliography"/>
      </w:pPr>
      <w:r w:rsidRPr="00A53339">
        <w:t>Piedmonte, N.P., Shaw, S.B., Prusinski, M.A., Fierke, M.K., 2018. Landscape Features Associated With Blacklegged Tick (Acari: Ixodidae) Density and Tick-Borne Pathogen Prevalence at Multiple Spatial Scales in Central New York State. J Med Entomol 55, 1496–1508. https://doi.org/10.1093/jme/tjy111</w:t>
      </w:r>
    </w:p>
    <w:p w14:paraId="2A96877B" w14:textId="77777777" w:rsidR="00A53339" w:rsidRPr="00A53339" w:rsidRDefault="00A53339" w:rsidP="00A53339">
      <w:pPr>
        <w:pStyle w:val="Bibliography"/>
      </w:pPr>
      <w:r w:rsidRPr="00A53339">
        <w:t>Piesman, J., Spielman, A., 1979. Host-Associations and Seasonal Abundance of Immature Ixodes dammini in Southeastern Massachusetts. Annals of the Entomological Society of America 72, 829–832. https://doi.org/10.1093/aesa/72.6.829</w:t>
      </w:r>
    </w:p>
    <w:p w14:paraId="6BD83D91" w14:textId="77777777" w:rsidR="00A53339" w:rsidRPr="00A53339" w:rsidRDefault="00A53339" w:rsidP="00A53339">
      <w:pPr>
        <w:pStyle w:val="Bibliography"/>
      </w:pPr>
      <w:r w:rsidRPr="00A53339">
        <w:t xml:space="preserve">Prusinski, M., O’Connor, C., Russell, A., Sommer, J., White, J., Rose, L., Falco, R., Kokas, J., Vinci, V., Gall, W., Tober, K., Haight, J., Oliver, J., Meehan, L., Sporn, L.A., Brisson, D., Backenson, P.B., 2023. Associations of </w:t>
      </w:r>
      <w:r w:rsidRPr="00A53339">
        <w:rPr>
          <w:i/>
          <w:iCs/>
        </w:rPr>
        <w:t>Anaplasma phagocytophilum</w:t>
      </w:r>
      <w:r w:rsidRPr="00A53339">
        <w:t xml:space="preserve"> Bacteria Variants in </w:t>
      </w:r>
      <w:r w:rsidRPr="00A53339">
        <w:rPr>
          <w:i/>
          <w:iCs/>
        </w:rPr>
        <w:t>Ixodes scapularis</w:t>
      </w:r>
      <w:r w:rsidRPr="00A53339">
        <w:t xml:space="preserve"> Ticks and Humans, New York, USA. Emerg. Infect. Dis. 29. https://doi.org/10.3201/eid2903.220320</w:t>
      </w:r>
    </w:p>
    <w:p w14:paraId="61BED33E" w14:textId="77777777" w:rsidR="00A53339" w:rsidRPr="00A53339" w:rsidRDefault="00A53339" w:rsidP="00A53339">
      <w:pPr>
        <w:pStyle w:val="Bibliography"/>
      </w:pPr>
      <w:r w:rsidRPr="00A53339">
        <w:t xml:space="preserve">Prusinski, M.A., Kokas, J.E., Hukey, K.T., Kogut, S.J., Lee, J., Backenson, P.B., 2014. Prevalence of </w:t>
      </w:r>
      <w:r w:rsidRPr="00A53339">
        <w:rPr>
          <w:i/>
          <w:iCs/>
        </w:rPr>
        <w:t>Borrelia burgdorferi</w:t>
      </w:r>
      <w:r w:rsidRPr="00A53339">
        <w:t xml:space="preserve"> (Spirochaetales: Spirochaetaceae), </w:t>
      </w:r>
      <w:r w:rsidRPr="00A53339">
        <w:rPr>
          <w:i/>
          <w:iCs/>
        </w:rPr>
        <w:t xml:space="preserve">Anaplasma </w:t>
      </w:r>
      <w:r w:rsidRPr="00A53339">
        <w:rPr>
          <w:i/>
          <w:iCs/>
        </w:rPr>
        <w:lastRenderedPageBreak/>
        <w:t>phagocytophilum</w:t>
      </w:r>
      <w:r w:rsidRPr="00A53339">
        <w:t xml:space="preserve"> (Rickettsiales: Anaplasmataceae), and </w:t>
      </w:r>
      <w:r w:rsidRPr="00A53339">
        <w:rPr>
          <w:i/>
          <w:iCs/>
        </w:rPr>
        <w:t>Babesia microti</w:t>
      </w:r>
      <w:r w:rsidRPr="00A53339">
        <w:t xml:space="preserve"> (Piroplasmida: Babesiidae) in </w:t>
      </w:r>
      <w:r w:rsidRPr="00A53339">
        <w:rPr>
          <w:i/>
          <w:iCs/>
        </w:rPr>
        <w:t>Ixodes scapularis</w:t>
      </w:r>
      <w:r w:rsidRPr="00A53339">
        <w:t xml:space="preserve"> (Acari: Ixodidae) collected from recreational lands in the Hudson Valley Region, New York State. J Med Entomol 51, 226–236. https://doi.org/10.1603/me13101</w:t>
      </w:r>
    </w:p>
    <w:p w14:paraId="70BADD31" w14:textId="77777777" w:rsidR="00A53339" w:rsidRPr="00A53339" w:rsidRDefault="00A53339" w:rsidP="00A53339">
      <w:pPr>
        <w:pStyle w:val="Bibliography"/>
      </w:pPr>
      <w:r w:rsidRPr="00A53339">
        <w:t>R Core Team, 2022. R: A language and Environment for Statistical Computing.</w:t>
      </w:r>
    </w:p>
    <w:p w14:paraId="4BC4A1AD" w14:textId="77777777" w:rsidR="00A53339" w:rsidRPr="00A53339" w:rsidRDefault="00A53339" w:rsidP="00A53339">
      <w:pPr>
        <w:pStyle w:val="Bibliography"/>
      </w:pPr>
      <w:r w:rsidRPr="00A53339">
        <w:t>Rikihisa, Y., 1991. The tribe Ehrlichieae and ehrlichial diseases. Clin Microbiol Rev 4, 286–308. https://doi.org/10.1128/CMR.4.3.286</w:t>
      </w:r>
    </w:p>
    <w:p w14:paraId="517B53DF" w14:textId="77777777" w:rsidR="00A53339" w:rsidRPr="00A53339" w:rsidRDefault="00A53339" w:rsidP="00A53339">
      <w:pPr>
        <w:pStyle w:val="Bibliography"/>
      </w:pPr>
      <w:r w:rsidRPr="00A53339">
        <w:t>Rosenberg, R., Lindsey, N.P., Fischer, M., 2018. &lt;i&gt;Vital Signs&lt;i/&gt;: Trends in Reported Vectorborne DIsease Cases - United States and Territories, 2004 - 2016 (No. 67), MMWR Morbidity and Mortality Weekly Report. Centers for Disease Control and Prevention.</w:t>
      </w:r>
    </w:p>
    <w:p w14:paraId="034D6CAE" w14:textId="77777777" w:rsidR="00A53339" w:rsidRPr="00A53339" w:rsidRDefault="00A53339" w:rsidP="00A53339">
      <w:pPr>
        <w:pStyle w:val="Bibliography"/>
      </w:pPr>
      <w:r w:rsidRPr="00A53339">
        <w:t>Russell, A., Prusinski, M., Sommer, J., O’Connor, C., White, J., Falco, R., Kokas, J., Vinci, V., Gall, W., Tober, K., Haight, J., Oliver, J., Meehan, L., Sporn, L.A., Brisson, D., Backenson, P.B., 2021. Epidemiology and Spatial Emergence of Anaplasmosis, New York, USA, 2010</w:t>
      </w:r>
      <w:r w:rsidRPr="00A53339">
        <w:rPr>
          <w:rFonts w:ascii="Arial" w:hAnsi="Arial" w:cs="Arial"/>
        </w:rPr>
        <w:t>‒</w:t>
      </w:r>
      <w:r w:rsidRPr="00A53339">
        <w:t>2018. Emerg Infect Dis 27, 2154–2162. https://doi.org/10.3201/eid2708.210133</w:t>
      </w:r>
    </w:p>
    <w:p w14:paraId="4C4EFA72" w14:textId="77777777" w:rsidR="00A53339" w:rsidRPr="00A53339" w:rsidRDefault="00A53339" w:rsidP="00A53339">
      <w:pPr>
        <w:pStyle w:val="Bibliography"/>
      </w:pPr>
      <w:r w:rsidRPr="00A53339">
        <w:t>Stuen, S., Granquist, E.G., Silaghi, C., 2013. Anaplasma phagocytophilum—a widespread multi-host pathogen with highly adaptive strategies. Front. Cell. Infect. Microbiol. 3. https://doi.org/10.3389/fcimb.2013.00031</w:t>
      </w:r>
    </w:p>
    <w:p w14:paraId="0CEAB9D7" w14:textId="77777777" w:rsidR="00A53339" w:rsidRPr="00A53339" w:rsidRDefault="00A53339" w:rsidP="00A53339">
      <w:pPr>
        <w:pStyle w:val="Bibliography"/>
      </w:pPr>
      <w:r w:rsidRPr="00A53339">
        <w:t>Teglas, M.B., Foley, J., 2006. Differences in the transmissibility of two Anaplasma phagocytophilum strains by the North American tick vector species, Ixodes pacificus and Ixodes scapularis (Acari: Ixodidae). Exp Appl Acarol 38, 47–58. https://doi.org/10.1007/s10493-005-5293-5</w:t>
      </w:r>
    </w:p>
    <w:p w14:paraId="23E83018" w14:textId="77777777" w:rsidR="00A53339" w:rsidRPr="00A53339" w:rsidRDefault="00A53339" w:rsidP="00A53339">
      <w:pPr>
        <w:pStyle w:val="Bibliography"/>
      </w:pPr>
      <w:r w:rsidRPr="00A53339">
        <w:t>Telford, S.R., Mather, T.N., Moore, S.I., Wilson, M.L., Spielman, A., 1988. Incompetence of deer as reservoirs of the Lyme disease spirochete. Am J Trop Med Hyg 39, 105–109. https://doi.org/10.4269/ajtmh.1988.39.105</w:t>
      </w:r>
    </w:p>
    <w:p w14:paraId="1D89CB08" w14:textId="77777777" w:rsidR="00A53339" w:rsidRPr="00A53339" w:rsidRDefault="00A53339" w:rsidP="00A53339">
      <w:pPr>
        <w:pStyle w:val="Bibliography"/>
      </w:pPr>
      <w:r w:rsidRPr="00A53339">
        <w:t>Tennekes, M., 2021. tmaptools: Thematic Map Tools.</w:t>
      </w:r>
    </w:p>
    <w:p w14:paraId="4A3EC23B" w14:textId="77777777" w:rsidR="00A53339" w:rsidRPr="00A53339" w:rsidRDefault="00A53339" w:rsidP="00A53339">
      <w:pPr>
        <w:pStyle w:val="Bibliography"/>
      </w:pPr>
      <w:r w:rsidRPr="00A53339">
        <w:t xml:space="preserve">Tennekes, M., 2018. </w:t>
      </w:r>
      <w:r w:rsidRPr="00A53339">
        <w:rPr>
          <w:b/>
          <w:bCs/>
        </w:rPr>
        <w:t>tmap</w:t>
      </w:r>
      <w:r w:rsidRPr="00A53339">
        <w:rPr>
          <w:rFonts w:ascii="Arial" w:hAnsi="Arial" w:cs="Arial"/>
        </w:rPr>
        <w:t> </w:t>
      </w:r>
      <w:r w:rsidRPr="00A53339">
        <w:t xml:space="preserve">: Thematic Maps in </w:t>
      </w:r>
      <w:r w:rsidRPr="00A53339">
        <w:rPr>
          <w:i/>
          <w:iCs/>
        </w:rPr>
        <w:t>R</w:t>
      </w:r>
      <w:r w:rsidRPr="00A53339">
        <w:t>. J. Stat. Soft. 84. https://doi.org/10.18637/jss.v084.i06</w:t>
      </w:r>
    </w:p>
    <w:p w14:paraId="64AE207B" w14:textId="77777777" w:rsidR="00A53339" w:rsidRPr="00A53339" w:rsidRDefault="00A53339" w:rsidP="00A53339">
      <w:pPr>
        <w:pStyle w:val="Bibliography"/>
      </w:pPr>
      <w:r w:rsidRPr="00A53339">
        <w:t>Tierson, W.C., Mattfeld, G.F., Sage, R.W., Behrend, D.F., 1985. Seasonal Movements and Home Ranges of White-Tailed Deer in the Adirondacks. The Journal of Wildlife Management 49, 760. https://doi.org/10.2307/3801708</w:t>
      </w:r>
    </w:p>
    <w:p w14:paraId="072100BA" w14:textId="77777777" w:rsidR="00A53339" w:rsidRPr="00A53339" w:rsidRDefault="00A53339" w:rsidP="00A53339">
      <w:pPr>
        <w:pStyle w:val="Bibliography"/>
      </w:pPr>
      <w:r w:rsidRPr="00A53339">
        <w:t>Tran, P.M., Waller, L., 2013. Effects of Landscape Fragmentation and Climate on Lyme Disease Incidence in the Northeastern United States. EcoHealth 10, 394–404. https://doi.org/10.1007/s10393-013-0890-y</w:t>
      </w:r>
    </w:p>
    <w:p w14:paraId="1825A495" w14:textId="77777777" w:rsidR="00A53339" w:rsidRPr="00A53339" w:rsidRDefault="00A53339" w:rsidP="00A53339">
      <w:pPr>
        <w:pStyle w:val="Bibliography"/>
      </w:pPr>
      <w:r w:rsidRPr="00A53339">
        <w:t>Urbanek, R.E., Nielsen, C.K., 2013. Influence of landscape factors on density of suburban white-tailed deer. Landscape and Urban Planning 114, 28–36. https://doi.org/10.1016/j.landurbplan.2013.02.006</w:t>
      </w:r>
    </w:p>
    <w:p w14:paraId="7727A6C4" w14:textId="77777777" w:rsidR="00A53339" w:rsidRPr="00A53339" w:rsidRDefault="00A53339" w:rsidP="00A53339">
      <w:pPr>
        <w:pStyle w:val="Bibliography"/>
      </w:pPr>
      <w:r w:rsidRPr="00A53339">
        <w:t>VanAcker, M.C., DeNicola, V.L., DeNicola, A.J., Aucoin, S.G., Simon, R., Toal, K.L., Diuk</w:t>
      </w:r>
      <w:r w:rsidRPr="00A53339">
        <w:rPr>
          <w:rFonts w:ascii="Cambria Math" w:hAnsi="Cambria Math" w:cs="Cambria Math"/>
        </w:rPr>
        <w:t>‐</w:t>
      </w:r>
      <w:r w:rsidRPr="00A53339">
        <w:t>Wasser, M.A., Cagnacci, F., 2023. Resource selection by New York City deer reveals the effective interface between wildlife, zoonotic hazards and humans. Ecology Letters ele.14326. https://doi.org/10.1111/ele.14326</w:t>
      </w:r>
    </w:p>
    <w:p w14:paraId="4735A7B6" w14:textId="77777777" w:rsidR="00A53339" w:rsidRPr="00A53339" w:rsidRDefault="00A53339" w:rsidP="00A53339">
      <w:pPr>
        <w:pStyle w:val="Bibliography"/>
      </w:pPr>
      <w:r w:rsidRPr="00A53339">
        <w:t xml:space="preserve">VanAcker, M.C., Little, E.A.H., Molaei, G., Bajwa, W.I., Diuk-Wasser, M.A., 2019. Enhancement of Risk for Lyme Disease by Landscape Connectivity, New York, New </w:t>
      </w:r>
      <w:r w:rsidRPr="00A53339">
        <w:lastRenderedPageBreak/>
        <w:t>York, USA. Emerg. Infect. Dis. 25, 1136–1143. https://doi.org/10.3201/eid2506.181741</w:t>
      </w:r>
    </w:p>
    <w:p w14:paraId="706FCA5B" w14:textId="77777777" w:rsidR="00A53339" w:rsidRPr="00A53339" w:rsidRDefault="00A53339" w:rsidP="00A53339">
      <w:pPr>
        <w:pStyle w:val="Bibliography"/>
      </w:pPr>
      <w:r w:rsidRPr="00A53339">
        <w:t>Whitman, B.J., Porter, W.F., Dechen Quinn, A.C., Williams, D.M., Frair, J., Underwood, H.B., Crawford, J.C., 2018. Movement behavior preceding autumn mortality for white-tailed deer in central New York. Journal of Mammalogy 99, 675–683. https://doi.org/10.1093/jmammal/gyy023</w:t>
      </w:r>
    </w:p>
    <w:p w14:paraId="0BB2EBB7" w14:textId="77777777" w:rsidR="00A53339" w:rsidRPr="00A53339" w:rsidRDefault="00A53339" w:rsidP="00A53339">
      <w:pPr>
        <w:pStyle w:val="Bibliography"/>
      </w:pPr>
      <w:r w:rsidRPr="00A53339">
        <w:t>Wickham, H., 2016. ggplot2: Elegant Graphics for Data Analysis, 2nd ed. 2016. ed, Use R! Springer International Publishing</w:t>
      </w:r>
      <w:r w:rsidRPr="00A53339">
        <w:rPr>
          <w:rFonts w:ascii="Arial" w:hAnsi="Arial" w:cs="Arial"/>
        </w:rPr>
        <w:t> </w:t>
      </w:r>
      <w:r w:rsidRPr="00A53339">
        <w:t>: Imprint: Springer, Cham. https://doi.org/10.1007/978-3-319-24277-4</w:t>
      </w:r>
    </w:p>
    <w:p w14:paraId="6A097942" w14:textId="77777777" w:rsidR="00A53339" w:rsidRPr="00A53339" w:rsidRDefault="00A53339" w:rsidP="00A53339">
      <w:pPr>
        <w:pStyle w:val="Bibliography"/>
      </w:pPr>
      <w:r w:rsidRPr="00A53339">
        <w:t>Wickham, H., François, R., Henry, L., Vaughan, D., 2023. dplyr: A Grammar of Data Manipulation.</w:t>
      </w:r>
    </w:p>
    <w:p w14:paraId="087DD882" w14:textId="77777777" w:rsidR="00A53339" w:rsidRPr="00A53339" w:rsidRDefault="00A53339" w:rsidP="00A53339">
      <w:pPr>
        <w:pStyle w:val="Bibliography"/>
      </w:pPr>
      <w:r w:rsidRPr="00A53339">
        <w:t>Williams, D.M., Dechen Quinn, A.C., Porter, W.F., 2012. Landscape effects on scales of movement by white-tailed deer in an agricultural–forest matrix. Landscape Ecol 27, 45–57. https://doi.org/10.1007/s10980-011-9664-5</w:t>
      </w:r>
    </w:p>
    <w:p w14:paraId="5EE7AC8C" w14:textId="77777777" w:rsidR="00A53339" w:rsidRPr="00A53339" w:rsidRDefault="00A53339" w:rsidP="00A53339">
      <w:pPr>
        <w:pStyle w:val="Bibliography"/>
      </w:pPr>
      <w:r w:rsidRPr="00A53339">
        <w:t>Wood, S.N., 2011. Fast Stable Restricted Maximum Likelihood and Marginal Likelihood Estimation of Semiparametric Generalized Linear Models. Journal of the Royal Statistical Society Series B: Statistical Methodology 73, 3–36. https://doi.org/10.1111/j.1467-9868.2010.00749.x</w:t>
      </w:r>
    </w:p>
    <w:p w14:paraId="2E492A03" w14:textId="7DA5BCB1" w:rsidR="00847A43" w:rsidRPr="00F12320" w:rsidRDefault="00847A43" w:rsidP="00847A43">
      <w:pPr>
        <w:spacing w:line="480" w:lineRule="auto"/>
        <w:rPr>
          <w:rFonts w:ascii="Times New Roman" w:hAnsi="Times New Roman" w:cs="Times New Roman"/>
          <w:b/>
          <w:bCs/>
        </w:rPr>
      </w:pPr>
      <w:r>
        <w:rPr>
          <w:rFonts w:ascii="Times New Roman" w:hAnsi="Times New Roman" w:cs="Times New Roman"/>
          <w:b/>
          <w:bCs/>
        </w:rPr>
        <w:fldChar w:fldCharType="end"/>
      </w:r>
    </w:p>
    <w:sectPr w:rsidR="00847A43" w:rsidRPr="00F12320" w:rsidSect="006C642D">
      <w:headerReference w:type="even" r:id="rId15"/>
      <w:headerReference w:type="default" r:id="rId16"/>
      <w:footerReference w:type="first" r:id="rId17"/>
      <w:pgSz w:w="12240" w:h="15840"/>
      <w:pgMar w:top="1440" w:right="1440" w:bottom="1440" w:left="1440" w:header="720" w:footer="72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ollin O'Connor" w:date="2024-06-27T10:20:00Z" w:initials="CO">
    <w:p w14:paraId="67347BCE" w14:textId="77777777" w:rsidR="006C642D" w:rsidRDefault="006C642D" w:rsidP="006C642D">
      <w:r>
        <w:rPr>
          <w:rStyle w:val="CommentReference"/>
        </w:rPr>
        <w:annotationRef/>
      </w:r>
      <w:r>
        <w:rPr>
          <w:sz w:val="20"/>
          <w:szCs w:val="20"/>
        </w:rPr>
        <w:t>Highlights</w:t>
      </w:r>
    </w:p>
    <w:p w14:paraId="637E7AA1" w14:textId="77777777" w:rsidR="006C642D" w:rsidRDefault="006C642D" w:rsidP="006C642D">
      <w:r>
        <w:rPr>
          <w:sz w:val="20"/>
          <w:szCs w:val="20"/>
        </w:rPr>
        <w:t>You are encouraged to provide article highlights at submission.</w:t>
      </w:r>
    </w:p>
    <w:p w14:paraId="063368CE" w14:textId="77777777" w:rsidR="006C642D" w:rsidRDefault="006C642D" w:rsidP="006C642D"/>
    <w:p w14:paraId="7D48530A" w14:textId="77777777" w:rsidR="006C642D" w:rsidRDefault="006C642D" w:rsidP="006C642D">
      <w:r>
        <w:rPr>
          <w:sz w:val="20"/>
          <w:szCs w:val="20"/>
        </w:rPr>
        <w:t>Highlights are a short collection of bullet points that should capture the novel results of your research as well as any new methods used during your study. Highlights will help increase the discoverability of your article via search engines. Some guidelines:</w:t>
      </w:r>
    </w:p>
    <w:p w14:paraId="5AA6AD47" w14:textId="77777777" w:rsidR="006C642D" w:rsidRDefault="006C642D" w:rsidP="006C642D"/>
    <w:p w14:paraId="4752665E" w14:textId="77777777" w:rsidR="006C642D" w:rsidRDefault="006C642D" w:rsidP="006C642D">
      <w:r>
        <w:rPr>
          <w:sz w:val="20"/>
          <w:szCs w:val="20"/>
        </w:rPr>
        <w:t>Submit highlights as a separate editable file in the online submission system with the word “highlights” included in the file name.</w:t>
      </w:r>
    </w:p>
    <w:p w14:paraId="3F2DFB5E" w14:textId="77777777" w:rsidR="006C642D" w:rsidRDefault="006C642D" w:rsidP="006C642D"/>
    <w:p w14:paraId="6211091B" w14:textId="77777777" w:rsidR="006C642D" w:rsidRDefault="006C642D" w:rsidP="006C642D">
      <w:r>
        <w:rPr>
          <w:sz w:val="20"/>
          <w:szCs w:val="20"/>
        </w:rPr>
        <w:t>Highlights should consist of 3 to 5 bullet points, each a maximum of 85 characters, including spaces.</w:t>
      </w:r>
    </w:p>
    <w:p w14:paraId="42974758" w14:textId="77777777" w:rsidR="006C642D" w:rsidRDefault="006C642D" w:rsidP="006C642D"/>
    <w:p w14:paraId="62FE4592" w14:textId="77777777" w:rsidR="006C642D" w:rsidRDefault="006C642D" w:rsidP="006C642D">
      <w:r>
        <w:rPr>
          <w:sz w:val="20"/>
          <w:szCs w:val="20"/>
        </w:rPr>
        <w:t>We encourage you to view example article highlights and read about the benefits of their inclusion.</w:t>
      </w:r>
    </w:p>
  </w:comment>
  <w:comment w:id="1" w:author="Collin O'Connor" w:date="2024-06-27T10:21:00Z" w:initials="CO">
    <w:p w14:paraId="1C5737C5" w14:textId="77777777" w:rsidR="006C642D" w:rsidRDefault="006C642D" w:rsidP="006C642D">
      <w:r>
        <w:rPr>
          <w:rStyle w:val="CommentReference"/>
        </w:rPr>
        <w:annotationRef/>
      </w:r>
      <w:r>
        <w:rPr>
          <w:sz w:val="20"/>
          <w:szCs w:val="20"/>
        </w:rPr>
        <w:t>Graphical abstract</w:t>
      </w:r>
    </w:p>
    <w:p w14:paraId="59034520" w14:textId="77777777" w:rsidR="006C642D" w:rsidRDefault="006C642D" w:rsidP="006C642D">
      <w:r>
        <w:rPr>
          <w:sz w:val="20"/>
          <w:szCs w:val="20"/>
        </w:rPr>
        <w:t>You are encouraged to provide a graphical abstract at submission.</w:t>
      </w:r>
    </w:p>
    <w:p w14:paraId="6D7FBE2E" w14:textId="77777777" w:rsidR="006C642D" w:rsidRDefault="006C642D" w:rsidP="006C642D"/>
    <w:p w14:paraId="58AFD795" w14:textId="77777777" w:rsidR="006C642D" w:rsidRDefault="006C642D" w:rsidP="006C642D">
      <w:r>
        <w:rPr>
          <w:sz w:val="20"/>
          <w:szCs w:val="20"/>
        </w:rPr>
        <w:t>The graphical abstract should summarize the contents of your article in a concise, pictorial form which is designed to capture the attention of a wide readership. A graphical abstract will help draw more attention to your online article and support readers in digesting your research. Some guidelines:</w:t>
      </w:r>
    </w:p>
    <w:p w14:paraId="6CEE461E" w14:textId="77777777" w:rsidR="006C642D" w:rsidRDefault="006C642D" w:rsidP="006C642D"/>
    <w:p w14:paraId="0C04E8AF" w14:textId="77777777" w:rsidR="006C642D" w:rsidRDefault="006C642D" w:rsidP="006C642D">
      <w:r>
        <w:rPr>
          <w:sz w:val="20"/>
          <w:szCs w:val="20"/>
        </w:rPr>
        <w:t>Submit your graphical abstract as a separate file in the online submission system.</w:t>
      </w:r>
    </w:p>
    <w:p w14:paraId="335F37C0" w14:textId="77777777" w:rsidR="006C642D" w:rsidRDefault="006C642D" w:rsidP="006C642D"/>
    <w:p w14:paraId="66EA80BD" w14:textId="77777777" w:rsidR="006C642D" w:rsidRDefault="006C642D" w:rsidP="006C642D">
      <w:r>
        <w:rPr>
          <w:sz w:val="20"/>
          <w:szCs w:val="20"/>
        </w:rPr>
        <w:t>Ensure the image is a minimum of 531 x 1328 pixels (h x w) or proportionally more and is readable at a size of 5 x 13 cm using a regular screen resolution of 96 dpi.</w:t>
      </w:r>
    </w:p>
    <w:p w14:paraId="4D59B125" w14:textId="77777777" w:rsidR="006C642D" w:rsidRDefault="006C642D" w:rsidP="006C642D"/>
    <w:p w14:paraId="04EDB428" w14:textId="77777777" w:rsidR="006C642D" w:rsidRDefault="006C642D" w:rsidP="006C642D">
      <w:r>
        <w:rPr>
          <w:sz w:val="20"/>
          <w:szCs w:val="20"/>
        </w:rPr>
        <w:t>Our preferred file types for graphical abstracts are TIFF, EPS, PDF or MS Office files.</w:t>
      </w:r>
    </w:p>
    <w:p w14:paraId="2E252299" w14:textId="77777777" w:rsidR="006C642D" w:rsidRDefault="006C642D" w:rsidP="006C642D"/>
    <w:p w14:paraId="61AD06AC" w14:textId="77777777" w:rsidR="006C642D" w:rsidRDefault="006C642D" w:rsidP="006C642D">
      <w:r>
        <w:rPr>
          <w:sz w:val="20"/>
          <w:szCs w:val="20"/>
        </w:rPr>
        <w:t>We encourage you to view example graphical abstracts and read about the benefits of including them.</w:t>
      </w:r>
    </w:p>
    <w:p w14:paraId="45E5CC13" w14:textId="77777777" w:rsidR="006C642D" w:rsidRDefault="006C642D" w:rsidP="006C642D"/>
    <w:p w14:paraId="3B2BF638" w14:textId="77777777" w:rsidR="006C642D" w:rsidRDefault="006C642D" w:rsidP="006C642D"/>
  </w:comment>
  <w:comment w:id="2" w:author="Collin O'Connor" w:date="2024-06-27T10:27:00Z" w:initials="CO">
    <w:p w14:paraId="3F8A8FC7" w14:textId="77777777" w:rsidR="00F12320" w:rsidRDefault="00F12320" w:rsidP="00F12320">
      <w:r>
        <w:rPr>
          <w:rStyle w:val="CommentReference"/>
        </w:rPr>
        <w:annotationRef/>
      </w:r>
      <w:r>
        <w:rPr>
          <w:sz w:val="20"/>
          <w:szCs w:val="20"/>
        </w:rPr>
        <w:t>Author contributions: CRediT</w:t>
      </w:r>
    </w:p>
    <w:p w14:paraId="41BAA008" w14:textId="77777777" w:rsidR="00F12320" w:rsidRDefault="00F12320" w:rsidP="00F12320">
      <w:r>
        <w:rPr>
          <w:sz w:val="20"/>
          <w:szCs w:val="20"/>
        </w:rPr>
        <w:t>Corresponding authors are required to acknowledge co-author contributions using CRediT (Contributor Roles Taxonomy) roles:</w:t>
      </w:r>
    </w:p>
    <w:p w14:paraId="2F9A2B79" w14:textId="77777777" w:rsidR="00F12320" w:rsidRDefault="00F12320" w:rsidP="00F12320"/>
    <w:p w14:paraId="48828F42" w14:textId="77777777" w:rsidR="00F12320" w:rsidRDefault="00F12320" w:rsidP="00F12320">
      <w:r>
        <w:rPr>
          <w:sz w:val="20"/>
          <w:szCs w:val="20"/>
        </w:rPr>
        <w:t>Conceptualization</w:t>
      </w:r>
    </w:p>
    <w:p w14:paraId="53BEA9B2" w14:textId="77777777" w:rsidR="00F12320" w:rsidRDefault="00F12320" w:rsidP="00F12320"/>
    <w:p w14:paraId="5480FFE2" w14:textId="77777777" w:rsidR="00F12320" w:rsidRDefault="00F12320" w:rsidP="00F12320">
      <w:r>
        <w:rPr>
          <w:sz w:val="20"/>
          <w:szCs w:val="20"/>
        </w:rPr>
        <w:t>Data curation</w:t>
      </w:r>
    </w:p>
    <w:p w14:paraId="73E5625B" w14:textId="77777777" w:rsidR="00F12320" w:rsidRDefault="00F12320" w:rsidP="00F12320"/>
    <w:p w14:paraId="41FB346B" w14:textId="77777777" w:rsidR="00F12320" w:rsidRDefault="00F12320" w:rsidP="00F12320">
      <w:r>
        <w:rPr>
          <w:sz w:val="20"/>
          <w:szCs w:val="20"/>
        </w:rPr>
        <w:t>Formal analysis</w:t>
      </w:r>
    </w:p>
    <w:p w14:paraId="5D16D458" w14:textId="77777777" w:rsidR="00F12320" w:rsidRDefault="00F12320" w:rsidP="00F12320"/>
    <w:p w14:paraId="4FDD2E40" w14:textId="77777777" w:rsidR="00F12320" w:rsidRDefault="00F12320" w:rsidP="00F12320">
      <w:r>
        <w:rPr>
          <w:sz w:val="20"/>
          <w:szCs w:val="20"/>
        </w:rPr>
        <w:t>Funding acquisition</w:t>
      </w:r>
    </w:p>
    <w:p w14:paraId="734437DF" w14:textId="77777777" w:rsidR="00F12320" w:rsidRDefault="00F12320" w:rsidP="00F12320"/>
    <w:p w14:paraId="1B205210" w14:textId="77777777" w:rsidR="00F12320" w:rsidRDefault="00F12320" w:rsidP="00F12320">
      <w:r>
        <w:rPr>
          <w:sz w:val="20"/>
          <w:szCs w:val="20"/>
        </w:rPr>
        <w:t>Investigation</w:t>
      </w:r>
    </w:p>
    <w:p w14:paraId="41F8E097" w14:textId="77777777" w:rsidR="00F12320" w:rsidRDefault="00F12320" w:rsidP="00F12320"/>
    <w:p w14:paraId="03CCE437" w14:textId="77777777" w:rsidR="00F12320" w:rsidRDefault="00F12320" w:rsidP="00F12320">
      <w:r>
        <w:rPr>
          <w:sz w:val="20"/>
          <w:szCs w:val="20"/>
        </w:rPr>
        <w:t>Methodology</w:t>
      </w:r>
    </w:p>
    <w:p w14:paraId="665BBFE9" w14:textId="77777777" w:rsidR="00F12320" w:rsidRDefault="00F12320" w:rsidP="00F12320"/>
    <w:p w14:paraId="68DE34BE" w14:textId="77777777" w:rsidR="00F12320" w:rsidRDefault="00F12320" w:rsidP="00F12320">
      <w:r>
        <w:rPr>
          <w:sz w:val="20"/>
          <w:szCs w:val="20"/>
        </w:rPr>
        <w:t>Project administration</w:t>
      </w:r>
    </w:p>
    <w:p w14:paraId="2F9A5AD4" w14:textId="77777777" w:rsidR="00F12320" w:rsidRDefault="00F12320" w:rsidP="00F12320"/>
    <w:p w14:paraId="4F9B4FE1" w14:textId="77777777" w:rsidR="00F12320" w:rsidRDefault="00F12320" w:rsidP="00F12320">
      <w:r>
        <w:rPr>
          <w:sz w:val="20"/>
          <w:szCs w:val="20"/>
        </w:rPr>
        <w:t>Resources</w:t>
      </w:r>
    </w:p>
    <w:p w14:paraId="145454EA" w14:textId="77777777" w:rsidR="00F12320" w:rsidRDefault="00F12320" w:rsidP="00F12320"/>
    <w:p w14:paraId="024A5740" w14:textId="77777777" w:rsidR="00F12320" w:rsidRDefault="00F12320" w:rsidP="00F12320">
      <w:r>
        <w:rPr>
          <w:sz w:val="20"/>
          <w:szCs w:val="20"/>
        </w:rPr>
        <w:t>Software</w:t>
      </w:r>
    </w:p>
    <w:p w14:paraId="7901D53D" w14:textId="77777777" w:rsidR="00F12320" w:rsidRDefault="00F12320" w:rsidP="00F12320"/>
    <w:p w14:paraId="565E7EB2" w14:textId="77777777" w:rsidR="00F12320" w:rsidRDefault="00F12320" w:rsidP="00F12320">
      <w:r>
        <w:rPr>
          <w:sz w:val="20"/>
          <w:szCs w:val="20"/>
        </w:rPr>
        <w:t>Supervision</w:t>
      </w:r>
    </w:p>
    <w:p w14:paraId="022F550D" w14:textId="77777777" w:rsidR="00F12320" w:rsidRDefault="00F12320" w:rsidP="00F12320"/>
    <w:p w14:paraId="6CDE73CA" w14:textId="77777777" w:rsidR="00F12320" w:rsidRDefault="00F12320" w:rsidP="00F12320">
      <w:r>
        <w:rPr>
          <w:sz w:val="20"/>
          <w:szCs w:val="20"/>
        </w:rPr>
        <w:t>Validation</w:t>
      </w:r>
    </w:p>
    <w:p w14:paraId="2D0D02B3" w14:textId="77777777" w:rsidR="00F12320" w:rsidRDefault="00F12320" w:rsidP="00F12320"/>
    <w:p w14:paraId="672D503C" w14:textId="77777777" w:rsidR="00F12320" w:rsidRDefault="00F12320" w:rsidP="00F12320">
      <w:r>
        <w:rPr>
          <w:sz w:val="20"/>
          <w:szCs w:val="20"/>
        </w:rPr>
        <w:t>Visualization</w:t>
      </w:r>
    </w:p>
    <w:p w14:paraId="506C0B60" w14:textId="77777777" w:rsidR="00F12320" w:rsidRDefault="00F12320" w:rsidP="00F12320"/>
    <w:p w14:paraId="5BFD4C32" w14:textId="77777777" w:rsidR="00F12320" w:rsidRDefault="00F12320" w:rsidP="00F12320">
      <w:r>
        <w:rPr>
          <w:sz w:val="20"/>
          <w:szCs w:val="20"/>
        </w:rPr>
        <w:t>Writing – original draft</w:t>
      </w:r>
    </w:p>
    <w:p w14:paraId="1F6110B4" w14:textId="77777777" w:rsidR="00F12320" w:rsidRDefault="00F12320" w:rsidP="00F12320"/>
    <w:p w14:paraId="69CA8A80" w14:textId="77777777" w:rsidR="00F12320" w:rsidRDefault="00F12320" w:rsidP="00F12320">
      <w:r>
        <w:rPr>
          <w:sz w:val="20"/>
          <w:szCs w:val="20"/>
        </w:rPr>
        <w:t>Writing – review and editing</w:t>
      </w:r>
    </w:p>
    <w:p w14:paraId="1A304AC9" w14:textId="77777777" w:rsidR="00F12320" w:rsidRDefault="00F12320" w:rsidP="00F12320"/>
    <w:p w14:paraId="320F0E02" w14:textId="77777777" w:rsidR="00F12320" w:rsidRDefault="00F12320" w:rsidP="00F12320"/>
  </w:comment>
  <w:comment w:id="3" w:author="Collin O'Connor" w:date="2024-06-27T10:21:00Z" w:initials="CO">
    <w:p w14:paraId="2D140D6A" w14:textId="43EA20D7" w:rsidR="006C642D" w:rsidRDefault="006C642D" w:rsidP="006C642D">
      <w:r>
        <w:rPr>
          <w:rStyle w:val="CommentReference"/>
        </w:rPr>
        <w:annotationRef/>
      </w:r>
      <w:r>
        <w:rPr>
          <w:sz w:val="20"/>
          <w:szCs w:val="20"/>
        </w:rPr>
        <w:t>Tables</w:t>
      </w:r>
      <w:r>
        <w:rPr>
          <w:sz w:val="20"/>
          <w:szCs w:val="20"/>
        </w:rPr>
        <w:cr/>
        <w:t>Tables must be submitted as editable text, not as images. Some guidelines:</w:t>
      </w:r>
      <w:r>
        <w:rPr>
          <w:sz w:val="20"/>
          <w:szCs w:val="20"/>
        </w:rPr>
        <w:cr/>
      </w:r>
      <w:r>
        <w:rPr>
          <w:sz w:val="20"/>
          <w:szCs w:val="20"/>
        </w:rPr>
        <w:cr/>
        <w:t>Place tables next to the relevant text or on a separate page(s) at the end of your article.</w:t>
      </w:r>
      <w:r>
        <w:rPr>
          <w:sz w:val="20"/>
          <w:szCs w:val="20"/>
        </w:rPr>
        <w:cr/>
      </w:r>
      <w:r>
        <w:rPr>
          <w:sz w:val="20"/>
          <w:szCs w:val="20"/>
        </w:rPr>
        <w:cr/>
        <w:t>Cite all tables in the manuscript text.</w:t>
      </w:r>
      <w:r>
        <w:rPr>
          <w:sz w:val="20"/>
          <w:szCs w:val="20"/>
        </w:rPr>
        <w:cr/>
      </w:r>
      <w:r>
        <w:rPr>
          <w:sz w:val="20"/>
          <w:szCs w:val="20"/>
        </w:rPr>
        <w:cr/>
        <w:t>Number tables consecutively according to their appearance in the text.</w:t>
      </w:r>
      <w:r>
        <w:rPr>
          <w:sz w:val="20"/>
          <w:szCs w:val="20"/>
        </w:rPr>
        <w:cr/>
      </w:r>
      <w:r>
        <w:rPr>
          <w:sz w:val="20"/>
          <w:szCs w:val="20"/>
        </w:rPr>
        <w:cr/>
        <w:t>Please provide captions along with the tables.</w:t>
      </w:r>
      <w:r>
        <w:rPr>
          <w:sz w:val="20"/>
          <w:szCs w:val="20"/>
        </w:rPr>
        <w:cr/>
      </w:r>
      <w:r>
        <w:rPr>
          <w:sz w:val="20"/>
          <w:szCs w:val="20"/>
        </w:rPr>
        <w:cr/>
        <w:t>Place any table notes below the table body.</w:t>
      </w:r>
      <w:r>
        <w:rPr>
          <w:sz w:val="20"/>
          <w:szCs w:val="20"/>
        </w:rPr>
        <w:cr/>
      </w:r>
      <w:r>
        <w:rPr>
          <w:sz w:val="20"/>
          <w:szCs w:val="20"/>
        </w:rPr>
        <w:cr/>
        <w:t>Avoid vertical rules and shading within table cells.</w:t>
      </w:r>
      <w:r>
        <w:rPr>
          <w:sz w:val="20"/>
          <w:szCs w:val="20"/>
        </w:rPr>
        <w:cr/>
      </w:r>
      <w:r>
        <w:rPr>
          <w:sz w:val="20"/>
          <w:szCs w:val="20"/>
        </w:rPr>
        <w:cr/>
        <w:t>We recommend that you use tables sparingly, ensuring that any data presented in tables is not duplicating results described elsewhere in the article.</w:t>
      </w:r>
      <w:r>
        <w:rPr>
          <w:sz w:val="20"/>
          <w:szCs w:val="20"/>
        </w:rPr>
        <w:cr/>
      </w:r>
      <w:r>
        <w:rPr>
          <w:sz w:val="20"/>
          <w:szCs w:val="20"/>
        </w:rPr>
        <w:cr/>
        <w:t>Figures, images and artwork</w:t>
      </w:r>
      <w:r>
        <w:rPr>
          <w:sz w:val="20"/>
          <w:szCs w:val="20"/>
        </w:rPr>
        <w:cr/>
        <w:t>Figures, images, artwork, diagrams and other graphical media must be supplied as separate files along with the manuscript. We recommend that you read our detailed artwork and media instructions. Some excerpts:</w:t>
      </w:r>
      <w:r>
        <w:rPr>
          <w:sz w:val="20"/>
          <w:szCs w:val="20"/>
        </w:rPr>
        <w:cr/>
      </w:r>
      <w:r>
        <w:rPr>
          <w:sz w:val="20"/>
          <w:szCs w:val="20"/>
        </w:rPr>
        <w:cr/>
        <w:t>When submitting artwork:</w:t>
      </w:r>
      <w:r>
        <w:rPr>
          <w:sz w:val="20"/>
          <w:szCs w:val="20"/>
        </w:rPr>
        <w:cr/>
      </w:r>
      <w:r>
        <w:rPr>
          <w:sz w:val="20"/>
          <w:szCs w:val="20"/>
        </w:rPr>
        <w:cr/>
        <w:t>Cite all images in the manuscript text.</w:t>
      </w:r>
      <w:r>
        <w:rPr>
          <w:sz w:val="20"/>
          <w:szCs w:val="20"/>
        </w:rPr>
        <w:cr/>
      </w:r>
      <w:r>
        <w:rPr>
          <w:sz w:val="20"/>
          <w:szCs w:val="20"/>
        </w:rPr>
        <w:cr/>
        <w:t>Number images according to the sequence they appear within your article.</w:t>
      </w:r>
      <w:r>
        <w:rPr>
          <w:sz w:val="20"/>
          <w:szCs w:val="20"/>
        </w:rPr>
        <w:cr/>
      </w:r>
      <w:r>
        <w:rPr>
          <w:sz w:val="20"/>
          <w:szCs w:val="20"/>
        </w:rPr>
        <w:cr/>
        <w:t>Submit each image as a separate file using a logical naming convention for your files (for example, Figure_1, Figure_2 etc).</w:t>
      </w:r>
      <w:r>
        <w:rPr>
          <w:sz w:val="20"/>
          <w:szCs w:val="20"/>
        </w:rPr>
        <w:cr/>
      </w:r>
      <w:r>
        <w:rPr>
          <w:sz w:val="20"/>
          <w:szCs w:val="20"/>
        </w:rPr>
        <w:cr/>
        <w:t>Please provide captions along with the artwork.</w:t>
      </w:r>
      <w:r>
        <w:rPr>
          <w:sz w:val="20"/>
          <w:szCs w:val="20"/>
        </w:rPr>
        <w:cr/>
      </w:r>
      <w:r>
        <w:rPr>
          <w:sz w:val="20"/>
          <w:szCs w:val="20"/>
        </w:rPr>
        <w:cr/>
        <w:t>Text graphics may be embedded in the text at the appropriate position. If you are working with LaTeX, text graphics may also be embedded in the file.</w:t>
      </w:r>
      <w:r>
        <w:rPr>
          <w:sz w:val="20"/>
          <w:szCs w:val="20"/>
        </w:rPr>
        <w:separator/>
      </w:r>
      <w:r>
        <w:rPr>
          <w:sz w:val="20"/>
          <w:szCs w:val="20"/>
        </w:rPr>
        <w:separator/>
      </w:r>
    </w:p>
    <w:p w14:paraId="7553677B" w14:textId="77777777" w:rsidR="006C642D" w:rsidRDefault="006C642D" w:rsidP="006C642D"/>
    <w:p w14:paraId="1BB5E0EF" w14:textId="77777777" w:rsidR="006C642D" w:rsidRDefault="006C642D" w:rsidP="006C642D">
      <w:r>
        <w:rPr>
          <w:sz w:val="20"/>
          <w:szCs w:val="20"/>
        </w:rPr>
        <w:t>Figure captions</w:t>
      </w:r>
    </w:p>
    <w:p w14:paraId="2B82DF0E" w14:textId="77777777" w:rsidR="006C642D" w:rsidRDefault="006C642D" w:rsidP="006C642D">
      <w:r>
        <w:rPr>
          <w:sz w:val="20"/>
          <w:szCs w:val="20"/>
        </w:rPr>
        <w:t>All images must have a caption. A caption should consist of a brief title (not displayed on the figure itself) and a description of the image. We advise you to keep the amount of text in any image to a minimum, though any symbols and abbreviations used should be explained.</w:t>
      </w:r>
    </w:p>
    <w:p w14:paraId="56B3F8B2" w14:textId="77777777" w:rsidR="006C642D" w:rsidRDefault="006C642D" w:rsidP="006C642D"/>
    <w:p w14:paraId="36C25A9D" w14:textId="77777777" w:rsidR="006C642D" w:rsidRDefault="006C642D" w:rsidP="006C642D">
      <w:r>
        <w:rPr>
          <w:sz w:val="20"/>
          <w:szCs w:val="20"/>
        </w:rPr>
        <w:t>Provide captions in a separate file.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FE4592" w15:done="0"/>
  <w15:commentEx w15:paraId="3B2BF638" w15:done="0"/>
  <w15:commentEx w15:paraId="320F0E02" w15:done="0"/>
  <w15:commentEx w15:paraId="36C25A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6E9583D" w16cex:dateUtc="2024-06-27T14:20:00Z"/>
  <w16cex:commentExtensible w16cex:durableId="75F5FA0A" w16cex:dateUtc="2024-06-27T14:21:00Z"/>
  <w16cex:commentExtensible w16cex:durableId="51445354" w16cex:dateUtc="2024-06-27T14:27:00Z"/>
  <w16cex:commentExtensible w16cex:durableId="0DCF1140" w16cex:dateUtc="2024-06-27T1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FE4592" w16cid:durableId="66E9583D"/>
  <w16cid:commentId w16cid:paraId="3B2BF638" w16cid:durableId="75F5FA0A"/>
  <w16cid:commentId w16cid:paraId="320F0E02" w16cid:durableId="51445354"/>
  <w16cid:commentId w16cid:paraId="36C25A9D" w16cid:durableId="0DCF11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2D670" w14:textId="77777777" w:rsidR="00AC42D1" w:rsidRDefault="00AC42D1" w:rsidP="00425E8A">
      <w:r>
        <w:separator/>
      </w:r>
    </w:p>
  </w:endnote>
  <w:endnote w:type="continuationSeparator" w:id="0">
    <w:p w14:paraId="41ABA113" w14:textId="77777777" w:rsidR="00AC42D1" w:rsidRDefault="00AC42D1" w:rsidP="00425E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ptos Narrow">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2C42" w14:textId="77777777" w:rsidR="006C642D" w:rsidRPr="006C642D" w:rsidRDefault="006C642D" w:rsidP="006C642D">
    <w:pPr>
      <w:outlineLvl w:val="4"/>
      <w:rPr>
        <w:rFonts w:ascii="Arial" w:eastAsia="Times New Roman" w:hAnsi="Arial" w:cs="Arial"/>
        <w:b/>
        <w:bCs/>
        <w:color w:val="1F1F1F"/>
        <w:kern w:val="0"/>
        <w:sz w:val="12"/>
        <w:szCs w:val="12"/>
        <w14:ligatures w14:val="none"/>
      </w:rPr>
    </w:pPr>
    <w:r w:rsidRPr="006C642D">
      <w:rPr>
        <w:rFonts w:ascii="Arial" w:eastAsia="Times New Roman" w:hAnsi="Arial" w:cs="Arial"/>
        <w:b/>
        <w:bCs/>
        <w:color w:val="1F1F1F"/>
        <w:kern w:val="0"/>
        <w:sz w:val="12"/>
        <w:szCs w:val="12"/>
        <w14:ligatures w14:val="none"/>
      </w:rPr>
      <w:t>Abbreviations</w:t>
    </w:r>
  </w:p>
  <w:p w14:paraId="00B88D03" w14:textId="77777777" w:rsidR="006C642D" w:rsidRPr="006C642D" w:rsidRDefault="006C642D" w:rsidP="006C642D">
    <w:pPr>
      <w:spacing w:before="100" w:beforeAutospacing="1" w:after="100" w:afterAutospacing="1"/>
      <w:rPr>
        <w:rFonts w:ascii="Arial" w:eastAsia="Times New Roman" w:hAnsi="Arial" w:cs="Arial"/>
        <w:color w:val="1F1F1F"/>
        <w:kern w:val="0"/>
        <w:sz w:val="12"/>
        <w:szCs w:val="12"/>
        <w14:ligatures w14:val="none"/>
      </w:rPr>
    </w:pPr>
    <w:r w:rsidRPr="006C642D">
      <w:rPr>
        <w:rFonts w:ascii="Arial" w:eastAsia="Times New Roman" w:hAnsi="Arial" w:cs="Arial"/>
        <w:color w:val="1F1F1F"/>
        <w:kern w:val="0"/>
        <w:sz w:val="12"/>
        <w:szCs w:val="12"/>
        <w14:ligatures w14:val="none"/>
      </w:rPr>
      <w:t>Abbreviations which are not standard in the field should be defined in a footnote on the first page of your article.</w:t>
    </w:r>
  </w:p>
  <w:p w14:paraId="430665EF" w14:textId="77777777" w:rsidR="006C642D" w:rsidRPr="006C642D" w:rsidRDefault="006C642D" w:rsidP="006C642D">
    <w:pPr>
      <w:spacing w:before="100" w:beforeAutospacing="1" w:after="100" w:afterAutospacing="1"/>
      <w:rPr>
        <w:rFonts w:ascii="Arial" w:eastAsia="Times New Roman" w:hAnsi="Arial" w:cs="Arial"/>
        <w:color w:val="1F1F1F"/>
        <w:kern w:val="0"/>
        <w:sz w:val="12"/>
        <w:szCs w:val="12"/>
        <w14:ligatures w14:val="none"/>
      </w:rPr>
    </w:pPr>
    <w:r w:rsidRPr="006C642D">
      <w:rPr>
        <w:rFonts w:ascii="Arial" w:eastAsia="Times New Roman" w:hAnsi="Arial" w:cs="Arial"/>
        <w:color w:val="1F1F1F"/>
        <w:kern w:val="0"/>
        <w:sz w:val="12"/>
        <w:szCs w:val="12"/>
        <w14:ligatures w14:val="none"/>
      </w:rPr>
      <w:t>Abbreviations which are essential to include in your abstract should be defined at first mention in your abstract, as well as in a footnote on the first page of your article.</w:t>
    </w:r>
  </w:p>
  <w:p w14:paraId="6781645B" w14:textId="7E21A2D1" w:rsidR="006C642D" w:rsidRPr="006C642D" w:rsidRDefault="006C642D" w:rsidP="006C642D">
    <w:pPr>
      <w:spacing w:before="100" w:beforeAutospacing="1" w:after="100" w:afterAutospacing="1"/>
      <w:rPr>
        <w:rFonts w:ascii="Arial" w:eastAsia="Times New Roman" w:hAnsi="Arial" w:cs="Arial"/>
        <w:color w:val="1F1F1F"/>
        <w:kern w:val="0"/>
        <w:sz w:val="12"/>
        <w:szCs w:val="12"/>
        <w14:ligatures w14:val="none"/>
      </w:rPr>
    </w:pPr>
    <w:r w:rsidRPr="006C642D">
      <w:rPr>
        <w:rFonts w:ascii="Arial" w:eastAsia="Times New Roman" w:hAnsi="Arial" w:cs="Arial"/>
        <w:color w:val="1F1F1F"/>
        <w:kern w:val="0"/>
        <w:sz w:val="12"/>
        <w:szCs w:val="12"/>
        <w14:ligatures w14:val="none"/>
      </w:rPr>
      <w:t xml:space="preserve">Before </w:t>
    </w:r>
    <w:proofErr w:type="spellStart"/>
    <w:r w:rsidRPr="006C642D">
      <w:rPr>
        <w:rFonts w:ascii="Arial" w:eastAsia="Times New Roman" w:hAnsi="Arial" w:cs="Arial"/>
        <w:color w:val="1F1F1F"/>
        <w:kern w:val="0"/>
        <w:sz w:val="12"/>
        <w:szCs w:val="12"/>
        <w14:ligatures w14:val="none"/>
      </w:rPr>
      <w:t>sub</w:t>
    </w:r>
    <w:r w:rsidR="004B4B10">
      <w:rPr>
        <w:rFonts w:ascii="Arial" w:eastAsia="Times New Roman" w:hAnsi="Arial" w:cs="Arial"/>
        <w:color w:val="1F1F1F"/>
        <w:kern w:val="0"/>
        <w:sz w:val="12"/>
        <w:szCs w:val="12"/>
        <w14:ligatures w14:val="none"/>
      </w:rPr>
      <w:t>m</w:t>
    </w:r>
    <w:r w:rsidRPr="006C642D">
      <w:rPr>
        <w:rFonts w:ascii="Arial" w:eastAsia="Times New Roman" w:hAnsi="Arial" w:cs="Arial"/>
        <w:color w:val="1F1F1F"/>
        <w:kern w:val="0"/>
        <w:sz w:val="12"/>
        <w:szCs w:val="12"/>
        <w14:ligatures w14:val="none"/>
      </w:rPr>
      <w:t>ssion</w:t>
    </w:r>
    <w:proofErr w:type="spellEnd"/>
    <w:r w:rsidRPr="006C642D">
      <w:rPr>
        <w:rFonts w:ascii="Arial" w:eastAsia="Times New Roman" w:hAnsi="Arial" w:cs="Arial"/>
        <w:color w:val="1F1F1F"/>
        <w:kern w:val="0"/>
        <w:sz w:val="12"/>
        <w:szCs w:val="12"/>
        <w14:ligatures w14:val="none"/>
      </w:rPr>
      <w:t xml:space="preserve"> we recommend that you review your use of abbreviations throughout your article to ensure that it is consistent.</w:t>
    </w:r>
  </w:p>
  <w:p w14:paraId="027BA9AD" w14:textId="77777777" w:rsidR="006C642D" w:rsidRDefault="006C64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E8F35" w14:textId="77777777" w:rsidR="00AC42D1" w:rsidRDefault="00AC42D1" w:rsidP="00425E8A">
      <w:r>
        <w:separator/>
      </w:r>
    </w:p>
  </w:footnote>
  <w:footnote w:type="continuationSeparator" w:id="0">
    <w:p w14:paraId="00D140A2" w14:textId="77777777" w:rsidR="00AC42D1" w:rsidRDefault="00AC42D1" w:rsidP="00425E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0777526"/>
      <w:docPartObj>
        <w:docPartGallery w:val="Page Numbers (Top of Page)"/>
        <w:docPartUnique/>
      </w:docPartObj>
    </w:sdtPr>
    <w:sdtContent>
      <w:p w14:paraId="334CA25A" w14:textId="11EEAF77" w:rsidR="00425E8A" w:rsidRDefault="00425E8A" w:rsidP="009A07F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F7DFAD" w14:textId="77777777" w:rsidR="00425E8A" w:rsidRDefault="00425E8A" w:rsidP="00425E8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51719274"/>
      <w:docPartObj>
        <w:docPartGallery w:val="Page Numbers (Top of Page)"/>
        <w:docPartUnique/>
      </w:docPartObj>
    </w:sdtPr>
    <w:sdtContent>
      <w:p w14:paraId="32AA20DA" w14:textId="02B16793" w:rsidR="00425E8A" w:rsidRDefault="00425E8A" w:rsidP="009A07FA">
        <w:pPr>
          <w:pStyle w:val="Header"/>
          <w:framePr w:wrap="none" w:vAnchor="text" w:hAnchor="margin" w:xAlign="right" w:y="1"/>
          <w:rPr>
            <w:rStyle w:val="PageNumber"/>
          </w:rPr>
        </w:pPr>
        <w:r w:rsidRPr="00425E8A">
          <w:rPr>
            <w:rStyle w:val="PageNumber"/>
            <w:rFonts w:ascii="Times New Roman" w:hAnsi="Times New Roman" w:cs="Times New Roman"/>
          </w:rPr>
          <w:fldChar w:fldCharType="begin"/>
        </w:r>
        <w:r w:rsidRPr="00425E8A">
          <w:rPr>
            <w:rStyle w:val="PageNumber"/>
            <w:rFonts w:ascii="Times New Roman" w:hAnsi="Times New Roman" w:cs="Times New Roman"/>
          </w:rPr>
          <w:instrText xml:space="preserve"> PAGE </w:instrText>
        </w:r>
        <w:r w:rsidRPr="00425E8A">
          <w:rPr>
            <w:rStyle w:val="PageNumber"/>
            <w:rFonts w:ascii="Times New Roman" w:hAnsi="Times New Roman" w:cs="Times New Roman"/>
          </w:rPr>
          <w:fldChar w:fldCharType="separate"/>
        </w:r>
        <w:r w:rsidRPr="00425E8A">
          <w:rPr>
            <w:rStyle w:val="PageNumber"/>
            <w:rFonts w:ascii="Times New Roman" w:hAnsi="Times New Roman" w:cs="Times New Roman"/>
            <w:noProof/>
          </w:rPr>
          <w:t>1</w:t>
        </w:r>
        <w:r w:rsidRPr="00425E8A">
          <w:rPr>
            <w:rStyle w:val="PageNumber"/>
            <w:rFonts w:ascii="Times New Roman" w:hAnsi="Times New Roman" w:cs="Times New Roman"/>
          </w:rPr>
          <w:fldChar w:fldCharType="end"/>
        </w:r>
      </w:p>
    </w:sdtContent>
  </w:sdt>
  <w:p w14:paraId="3472C987" w14:textId="77777777" w:rsidR="00425E8A" w:rsidRDefault="00425E8A" w:rsidP="00425E8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9C69A5"/>
    <w:multiLevelType w:val="hybridMultilevel"/>
    <w:tmpl w:val="32C89FCC"/>
    <w:lvl w:ilvl="0" w:tplc="1FB0E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3197612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llin O'Connor">
    <w15:presenceInfo w15:providerId="AD" w15:userId="S::collinoc@buffalo.edu::269fc854-0cfe-4e7a-8d30-876d2c5e7f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183"/>
    <w:rsid w:val="000173F7"/>
    <w:rsid w:val="00065A40"/>
    <w:rsid w:val="00091D0F"/>
    <w:rsid w:val="000D4907"/>
    <w:rsid w:val="00210806"/>
    <w:rsid w:val="002958FE"/>
    <w:rsid w:val="002A703C"/>
    <w:rsid w:val="00310780"/>
    <w:rsid w:val="0031541F"/>
    <w:rsid w:val="00331E06"/>
    <w:rsid w:val="00331E65"/>
    <w:rsid w:val="0036103D"/>
    <w:rsid w:val="003C4969"/>
    <w:rsid w:val="00425E8A"/>
    <w:rsid w:val="00442BD2"/>
    <w:rsid w:val="004863D6"/>
    <w:rsid w:val="00492C68"/>
    <w:rsid w:val="00493040"/>
    <w:rsid w:val="004A4142"/>
    <w:rsid w:val="004B4B10"/>
    <w:rsid w:val="00502B8B"/>
    <w:rsid w:val="00525709"/>
    <w:rsid w:val="00562C10"/>
    <w:rsid w:val="0059628F"/>
    <w:rsid w:val="005D718E"/>
    <w:rsid w:val="006116CD"/>
    <w:rsid w:val="00682059"/>
    <w:rsid w:val="00693A27"/>
    <w:rsid w:val="006C4568"/>
    <w:rsid w:val="006C642D"/>
    <w:rsid w:val="006D4A39"/>
    <w:rsid w:val="006D55C9"/>
    <w:rsid w:val="006D7CA6"/>
    <w:rsid w:val="006F6C8E"/>
    <w:rsid w:val="006F6D34"/>
    <w:rsid w:val="00736AA9"/>
    <w:rsid w:val="00794627"/>
    <w:rsid w:val="008339E0"/>
    <w:rsid w:val="00847A43"/>
    <w:rsid w:val="008A3D7F"/>
    <w:rsid w:val="008A6EC0"/>
    <w:rsid w:val="008D0635"/>
    <w:rsid w:val="008F3157"/>
    <w:rsid w:val="008F4326"/>
    <w:rsid w:val="009049F7"/>
    <w:rsid w:val="00973386"/>
    <w:rsid w:val="009A07FA"/>
    <w:rsid w:val="009B3C06"/>
    <w:rsid w:val="009D1183"/>
    <w:rsid w:val="009E2686"/>
    <w:rsid w:val="00A002E3"/>
    <w:rsid w:val="00A53339"/>
    <w:rsid w:val="00A55946"/>
    <w:rsid w:val="00A67BC5"/>
    <w:rsid w:val="00AA111A"/>
    <w:rsid w:val="00AC42D1"/>
    <w:rsid w:val="00B213BC"/>
    <w:rsid w:val="00B36EED"/>
    <w:rsid w:val="00B94254"/>
    <w:rsid w:val="00C10CEF"/>
    <w:rsid w:val="00C6589E"/>
    <w:rsid w:val="00C700AB"/>
    <w:rsid w:val="00C951BB"/>
    <w:rsid w:val="00CD3911"/>
    <w:rsid w:val="00CD651D"/>
    <w:rsid w:val="00D17BF1"/>
    <w:rsid w:val="00D542BB"/>
    <w:rsid w:val="00D94C88"/>
    <w:rsid w:val="00DA2A29"/>
    <w:rsid w:val="00DC27FD"/>
    <w:rsid w:val="00E02608"/>
    <w:rsid w:val="00E05F27"/>
    <w:rsid w:val="00E13456"/>
    <w:rsid w:val="00E31A21"/>
    <w:rsid w:val="00E646A1"/>
    <w:rsid w:val="00E867F9"/>
    <w:rsid w:val="00F12320"/>
    <w:rsid w:val="00F244E9"/>
    <w:rsid w:val="00F33112"/>
    <w:rsid w:val="00F61800"/>
    <w:rsid w:val="00F61A00"/>
    <w:rsid w:val="00FA6240"/>
    <w:rsid w:val="00FE7A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A3C18"/>
  <w15:chartTrackingRefBased/>
  <w15:docId w15:val="{6A431276-2BA1-274C-A8D2-6040E6D83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183"/>
  </w:style>
  <w:style w:type="paragraph" w:styleId="Heading1">
    <w:name w:val="heading 1"/>
    <w:basedOn w:val="Normal"/>
    <w:next w:val="Normal"/>
    <w:link w:val="Heading1Char"/>
    <w:uiPriority w:val="9"/>
    <w:qFormat/>
    <w:rsid w:val="009D11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D11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D11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11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D11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118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118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118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118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11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D11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11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11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D11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11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11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11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1183"/>
    <w:rPr>
      <w:rFonts w:eastAsiaTheme="majorEastAsia" w:cstheme="majorBidi"/>
      <w:color w:val="272727" w:themeColor="text1" w:themeTint="D8"/>
    </w:rPr>
  </w:style>
  <w:style w:type="paragraph" w:styleId="Title">
    <w:name w:val="Title"/>
    <w:basedOn w:val="Normal"/>
    <w:next w:val="Normal"/>
    <w:link w:val="TitleChar"/>
    <w:uiPriority w:val="10"/>
    <w:qFormat/>
    <w:rsid w:val="009D118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11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11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11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11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D1183"/>
    <w:rPr>
      <w:i/>
      <w:iCs/>
      <w:color w:val="404040" w:themeColor="text1" w:themeTint="BF"/>
    </w:rPr>
  </w:style>
  <w:style w:type="paragraph" w:styleId="ListParagraph">
    <w:name w:val="List Paragraph"/>
    <w:basedOn w:val="Normal"/>
    <w:uiPriority w:val="34"/>
    <w:qFormat/>
    <w:rsid w:val="009D1183"/>
    <w:pPr>
      <w:ind w:left="720"/>
      <w:contextualSpacing/>
    </w:pPr>
  </w:style>
  <w:style w:type="character" w:styleId="IntenseEmphasis">
    <w:name w:val="Intense Emphasis"/>
    <w:basedOn w:val="DefaultParagraphFont"/>
    <w:uiPriority w:val="21"/>
    <w:qFormat/>
    <w:rsid w:val="009D1183"/>
    <w:rPr>
      <w:i/>
      <w:iCs/>
      <w:color w:val="0F4761" w:themeColor="accent1" w:themeShade="BF"/>
    </w:rPr>
  </w:style>
  <w:style w:type="paragraph" w:styleId="IntenseQuote">
    <w:name w:val="Intense Quote"/>
    <w:basedOn w:val="Normal"/>
    <w:next w:val="Normal"/>
    <w:link w:val="IntenseQuoteChar"/>
    <w:uiPriority w:val="30"/>
    <w:qFormat/>
    <w:rsid w:val="009D11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1183"/>
    <w:rPr>
      <w:i/>
      <w:iCs/>
      <w:color w:val="0F4761" w:themeColor="accent1" w:themeShade="BF"/>
    </w:rPr>
  </w:style>
  <w:style w:type="character" w:styleId="IntenseReference">
    <w:name w:val="Intense Reference"/>
    <w:basedOn w:val="DefaultParagraphFont"/>
    <w:uiPriority w:val="32"/>
    <w:qFormat/>
    <w:rsid w:val="009D1183"/>
    <w:rPr>
      <w:b/>
      <w:bCs/>
      <w:smallCaps/>
      <w:color w:val="0F4761" w:themeColor="accent1" w:themeShade="BF"/>
      <w:spacing w:val="5"/>
    </w:rPr>
  </w:style>
  <w:style w:type="paragraph" w:styleId="Header">
    <w:name w:val="header"/>
    <w:basedOn w:val="Normal"/>
    <w:link w:val="HeaderChar"/>
    <w:uiPriority w:val="99"/>
    <w:unhideWhenUsed/>
    <w:rsid w:val="00425E8A"/>
    <w:pPr>
      <w:tabs>
        <w:tab w:val="center" w:pos="4680"/>
        <w:tab w:val="right" w:pos="9360"/>
      </w:tabs>
    </w:pPr>
  </w:style>
  <w:style w:type="character" w:customStyle="1" w:styleId="HeaderChar">
    <w:name w:val="Header Char"/>
    <w:basedOn w:val="DefaultParagraphFont"/>
    <w:link w:val="Header"/>
    <w:uiPriority w:val="99"/>
    <w:rsid w:val="00425E8A"/>
  </w:style>
  <w:style w:type="character" w:styleId="PageNumber">
    <w:name w:val="page number"/>
    <w:basedOn w:val="DefaultParagraphFont"/>
    <w:uiPriority w:val="99"/>
    <w:semiHidden/>
    <w:unhideWhenUsed/>
    <w:rsid w:val="00425E8A"/>
  </w:style>
  <w:style w:type="paragraph" w:styleId="Footer">
    <w:name w:val="footer"/>
    <w:basedOn w:val="Normal"/>
    <w:link w:val="FooterChar"/>
    <w:uiPriority w:val="99"/>
    <w:unhideWhenUsed/>
    <w:rsid w:val="00425E8A"/>
    <w:pPr>
      <w:tabs>
        <w:tab w:val="center" w:pos="4680"/>
        <w:tab w:val="right" w:pos="9360"/>
      </w:tabs>
    </w:pPr>
  </w:style>
  <w:style w:type="character" w:customStyle="1" w:styleId="FooterChar">
    <w:name w:val="Footer Char"/>
    <w:basedOn w:val="DefaultParagraphFont"/>
    <w:link w:val="Footer"/>
    <w:uiPriority w:val="99"/>
    <w:rsid w:val="00425E8A"/>
  </w:style>
  <w:style w:type="character" w:styleId="LineNumber">
    <w:name w:val="line number"/>
    <w:basedOn w:val="DefaultParagraphFont"/>
    <w:uiPriority w:val="99"/>
    <w:semiHidden/>
    <w:unhideWhenUsed/>
    <w:rsid w:val="008F4326"/>
  </w:style>
  <w:style w:type="character" w:styleId="CommentReference">
    <w:name w:val="annotation reference"/>
    <w:basedOn w:val="DefaultParagraphFont"/>
    <w:uiPriority w:val="99"/>
    <w:semiHidden/>
    <w:unhideWhenUsed/>
    <w:rsid w:val="006C642D"/>
    <w:rPr>
      <w:sz w:val="16"/>
      <w:szCs w:val="16"/>
    </w:rPr>
  </w:style>
  <w:style w:type="paragraph" w:styleId="CommentText">
    <w:name w:val="annotation text"/>
    <w:basedOn w:val="Normal"/>
    <w:link w:val="CommentTextChar"/>
    <w:uiPriority w:val="99"/>
    <w:semiHidden/>
    <w:unhideWhenUsed/>
    <w:rsid w:val="006C642D"/>
    <w:rPr>
      <w:sz w:val="20"/>
      <w:szCs w:val="20"/>
    </w:rPr>
  </w:style>
  <w:style w:type="character" w:customStyle="1" w:styleId="CommentTextChar">
    <w:name w:val="Comment Text Char"/>
    <w:basedOn w:val="DefaultParagraphFont"/>
    <w:link w:val="CommentText"/>
    <w:uiPriority w:val="99"/>
    <w:semiHidden/>
    <w:rsid w:val="006C642D"/>
    <w:rPr>
      <w:sz w:val="20"/>
      <w:szCs w:val="20"/>
    </w:rPr>
  </w:style>
  <w:style w:type="paragraph" w:styleId="CommentSubject">
    <w:name w:val="annotation subject"/>
    <w:basedOn w:val="CommentText"/>
    <w:next w:val="CommentText"/>
    <w:link w:val="CommentSubjectChar"/>
    <w:uiPriority w:val="99"/>
    <w:semiHidden/>
    <w:unhideWhenUsed/>
    <w:rsid w:val="006C642D"/>
    <w:rPr>
      <w:b/>
      <w:bCs/>
    </w:rPr>
  </w:style>
  <w:style w:type="character" w:customStyle="1" w:styleId="CommentSubjectChar">
    <w:name w:val="Comment Subject Char"/>
    <w:basedOn w:val="CommentTextChar"/>
    <w:link w:val="CommentSubject"/>
    <w:uiPriority w:val="99"/>
    <w:semiHidden/>
    <w:rsid w:val="006C642D"/>
    <w:rPr>
      <w:b/>
      <w:bCs/>
      <w:sz w:val="20"/>
      <w:szCs w:val="20"/>
    </w:rPr>
  </w:style>
  <w:style w:type="paragraph" w:styleId="NormalWeb">
    <w:name w:val="Normal (Web)"/>
    <w:basedOn w:val="Normal"/>
    <w:uiPriority w:val="99"/>
    <w:semiHidden/>
    <w:unhideWhenUsed/>
    <w:rsid w:val="006C642D"/>
    <w:pPr>
      <w:spacing w:before="100" w:beforeAutospacing="1" w:after="100" w:afterAutospacing="1"/>
    </w:pPr>
    <w:rPr>
      <w:rFonts w:ascii="Times New Roman" w:eastAsia="Times New Roman" w:hAnsi="Times New Roman" w:cs="Times New Roman"/>
      <w:kern w:val="0"/>
      <w14:ligatures w14:val="none"/>
    </w:rPr>
  </w:style>
  <w:style w:type="paragraph" w:styleId="FootnoteText">
    <w:name w:val="footnote text"/>
    <w:basedOn w:val="Normal"/>
    <w:link w:val="FootnoteTextChar"/>
    <w:uiPriority w:val="99"/>
    <w:semiHidden/>
    <w:unhideWhenUsed/>
    <w:rsid w:val="006C642D"/>
    <w:rPr>
      <w:sz w:val="20"/>
      <w:szCs w:val="20"/>
    </w:rPr>
  </w:style>
  <w:style w:type="character" w:customStyle="1" w:styleId="FootnoteTextChar">
    <w:name w:val="Footnote Text Char"/>
    <w:basedOn w:val="DefaultParagraphFont"/>
    <w:link w:val="FootnoteText"/>
    <w:uiPriority w:val="99"/>
    <w:semiHidden/>
    <w:rsid w:val="006C642D"/>
    <w:rPr>
      <w:sz w:val="20"/>
      <w:szCs w:val="20"/>
    </w:rPr>
  </w:style>
  <w:style w:type="character" w:styleId="FootnoteReference">
    <w:name w:val="footnote reference"/>
    <w:basedOn w:val="DefaultParagraphFont"/>
    <w:uiPriority w:val="99"/>
    <w:semiHidden/>
    <w:unhideWhenUsed/>
    <w:rsid w:val="006C642D"/>
    <w:rPr>
      <w:vertAlign w:val="superscript"/>
    </w:rPr>
  </w:style>
  <w:style w:type="paragraph" w:styleId="Bibliography">
    <w:name w:val="Bibliography"/>
    <w:basedOn w:val="Normal"/>
    <w:next w:val="Normal"/>
    <w:uiPriority w:val="37"/>
    <w:unhideWhenUsed/>
    <w:rsid w:val="00847A43"/>
    <w:pPr>
      <w:ind w:left="720" w:hanging="720"/>
    </w:pPr>
  </w:style>
  <w:style w:type="character" w:styleId="PlaceholderText">
    <w:name w:val="Placeholder Text"/>
    <w:basedOn w:val="DefaultParagraphFont"/>
    <w:uiPriority w:val="99"/>
    <w:semiHidden/>
    <w:rsid w:val="008339E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615789">
      <w:bodyDiv w:val="1"/>
      <w:marLeft w:val="0"/>
      <w:marRight w:val="0"/>
      <w:marTop w:val="0"/>
      <w:marBottom w:val="0"/>
      <w:divBdr>
        <w:top w:val="none" w:sz="0" w:space="0" w:color="auto"/>
        <w:left w:val="none" w:sz="0" w:space="0" w:color="auto"/>
        <w:bottom w:val="none" w:sz="0" w:space="0" w:color="auto"/>
        <w:right w:val="none" w:sz="0" w:space="0" w:color="auto"/>
      </w:divBdr>
      <w:divsChild>
        <w:div w:id="442110458">
          <w:marLeft w:val="0"/>
          <w:marRight w:val="0"/>
          <w:marTop w:val="0"/>
          <w:marBottom w:val="0"/>
          <w:divBdr>
            <w:top w:val="none" w:sz="0" w:space="0" w:color="auto"/>
            <w:left w:val="none" w:sz="0" w:space="0" w:color="auto"/>
            <w:bottom w:val="none" w:sz="0" w:space="0" w:color="auto"/>
            <w:right w:val="none" w:sz="0" w:space="0" w:color="auto"/>
          </w:divBdr>
        </w:div>
      </w:divsChild>
    </w:div>
    <w:div w:id="1259211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eader" Target="header1.xml"/><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883</TotalTime>
  <Pages>22</Pages>
  <Words>27652</Words>
  <Characters>157623</Characters>
  <Application>Microsoft Office Word</Application>
  <DocSecurity>0</DocSecurity>
  <Lines>1313</Lines>
  <Paragraphs>369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OConnor, Colin J</dc:creator>
  <cp:keywords/>
  <dc:description/>
  <cp:lastModifiedBy>Collin O'Connor</cp:lastModifiedBy>
  <cp:revision>3</cp:revision>
  <dcterms:created xsi:type="dcterms:W3CDTF">2024-05-29T14:29:00Z</dcterms:created>
  <dcterms:modified xsi:type="dcterms:W3CDTF">2024-07-10T19:57:00Z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id="ToBguUnt"/&gt;&lt;style id="http://www.zotero.org/styles/ticks-and-tick-borne-diseases" hasBibliography="1" bibliographyStyleHasBeenSet="1"/&gt;&lt;prefs&gt;&lt;pref name="fieldType" value="Field"/&gt;&lt;pref name="don</vt:lpwstr>
  </property>
  <property fmtid="{D5CDD505-2E9C-101B-9397-08002B2CF9AE}" pid="3" name="ZOTERO_PREF_2">
    <vt:lpwstr>tAskDelayCitationUpdates" value="true"/&gt;&lt;/prefs&gt;&lt;/data&gt;</vt:lpwstr>
  </property>
</Properties>
</file>