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BCNF 修复智能体实验操作手册</w:t>
      </w:r>
    </w:p>
    <w:p>
      <w:pPr>
        <w:pStyle w:val="Subtitle"/>
      </w:pPr>
      <w:r>
        <w:t>项目版本 0.1.0  核对日期 2026年10月18日</w:t>
      </w:r>
    </w:p>
    <w:p>
      <w:r>
        <w:t>本项目用于检验多轮数据修复中，确定性的数据库反例反馈是否比单纯通过或失败更有帮助。原有BCNF检查与增量算法通过只读快照复用；新增层负责生成任务、调用模型、限制预算、保存轨迹和独立评估。第一版可以完全在普通电脑上运行，不需要GPU或训练大模型。</w:t>
      </w:r>
    </w:p>
    <w:p>
      <w:r>
        <w:t>当前交付是可运行的研究原型。离线模拟负责验证工程流程，不代表真实模型效果；是否形成论文贡献，要等固定模型、数据和预算的真实对照实验结果。完整研究设计见此前的《详细实验方案与项目设计》。</w:t>
      </w:r>
    </w:p>
    <w:p>
      <w:pPr>
        <w:pStyle w:val="Heading1"/>
      </w:pPr>
      <w:r>
        <w:t>一 第一次运行</w:t>
      </w:r>
    </w:p>
    <w:p>
      <w:r>
        <w:t>解压项目后，在含README.txt和repair_agent文件夹的目录打开PowerShell。安装Python 3.11或以上；核心代码与测试仅依赖标准库，不需要pip安装依赖。已在本机配置的运行脚本会优先使用现有Python运行时。</w:t>
      </w:r>
    </w:p>
    <w:p>
      <w:pPr>
        <w:spacing w:line="252" w:lineRule="auto" w:after="100"/>
      </w:pPr>
      <w:r>
        <w:rPr>
          <w:rFonts w:ascii="Consolas" w:hAnsi="Consolas" w:eastAsia="宋体"/>
          <w:sz w:val="17"/>
        </w:rPr>
        <w:t>.\run.ps1 verify</w:t>
        <w:br/>
        <w:t>.\run.ps1 smoke --out runs/demo</w:t>
      </w:r>
    </w:p>
    <w:p>
      <w:r>
        <w:t>其他电脑可使用下面的等价命令。若Windows只有py命令，把python替换为py -3。</w:t>
      </w:r>
    </w:p>
    <w:p>
      <w:pPr>
        <w:spacing w:line="252" w:lineRule="auto" w:after="100"/>
      </w:pPr>
      <w:r>
        <w:rPr>
          <w:rFonts w:ascii="Consolas" w:hAnsi="Consolas" w:eastAsia="宋体"/>
          <w:sz w:val="17"/>
        </w:rPr>
        <w:t>python -m repair_agent verify</w:t>
        <w:br/>
        <w:t>python -m repair_agent smoke --out runs/demo</w:t>
      </w:r>
    </w:p>
    <w:p>
      <w:r>
        <w:t>verify核对9个原算法文件的SHA256。smoke生成30个任务、执行2次重复，共300个结果；完成评估、统计与相同候选轨迹的检查器回放。重复执行同一条命令会续跑，不会重新覆盖数据。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365"/>
        <w:gridCol w:w="4932"/>
      </w:tblGrid>
      <w:tr>
        <w:trPr>
          <w:tblHeader/>
          <w:cantSplit/>
        </w:trPr>
        <w:tc>
          <w:tcPr>
            <w:tcW w:type="dxa" w:w="4365"/>
            <w:vAlign w:val="center"/>
            <w:shd w:fill="DCE6F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/>
              <w:spacing w:after="40" w:line="276" w:lineRule="auto"/>
              <w:jc w:val="center"/>
            </w:pPr>
            <w:r>
              <w:rPr>
                <w:b/>
                <w:sz w:val="18"/>
              </w:rPr>
              <w:t>先查看的文件</w:t>
            </w:r>
          </w:p>
        </w:tc>
        <w:tc>
          <w:tcPr>
            <w:tcW w:type="dxa" w:w="4932"/>
            <w:vAlign w:val="center"/>
            <w:shd w:fill="DCE6F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/>
              <w:spacing w:after="40" w:line="276" w:lineRule="auto"/>
            </w:pPr>
            <w:r>
              <w:rPr>
                <w:b/>
                <w:sz w:val="18"/>
              </w:rPr>
              <w:t>看什么</w:t>
            </w:r>
          </w:p>
        </w:tc>
      </w:tr>
      <w:tr>
        <w:trPr>
          <w:cantSplit/>
        </w:trPr>
        <w:tc>
          <w:tcPr>
            <w:tcW w:type="dxa" w:w="4365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sz w:val="18"/>
              </w:rPr>
              <w:t>runs/demo/run/run_summary.json</w:t>
            </w:r>
          </w:p>
        </w:tc>
        <w:tc>
          <w:tcPr>
            <w:tcW w:type="dxa" w:w="493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sz w:val="18"/>
              </w:rPr>
              <w:t>应为300个完成结果，mode为SIMULATED；网络次数和费用为0。</w:t>
            </w:r>
          </w:p>
        </w:tc>
      </w:tr>
      <w:tr>
        <w:trPr>
          <w:cantSplit/>
        </w:trPr>
        <w:tc>
          <w:tcPr>
            <w:tcW w:type="dxa" w:w="4365"/>
            <w:vAlign w:val="center"/>
            <w:shd w:fill="F6F8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sz w:val="18"/>
              </w:rPr>
              <w:t>runs/demo/run/summary.csv</w:t>
            </w:r>
          </w:p>
        </w:tc>
        <w:tc>
          <w:tcPr>
            <w:tcW w:type="dxa" w:w="4932"/>
            <w:vAlign w:val="center"/>
            <w:shd w:fill="F6F8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sz w:val="18"/>
              </w:rPr>
              <w:t>各组合法修复率、F1、轮次、费用。CSV可直接用Excel打开。</w:t>
            </w:r>
          </w:p>
        </w:tc>
      </w:tr>
      <w:tr>
        <w:trPr>
          <w:cantSplit/>
        </w:trPr>
        <w:tc>
          <w:tcPr>
            <w:tcW w:type="dxa" w:w="4365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sz w:val="18"/>
              </w:rPr>
              <w:t>runs/demo/run/comparison.svg</w:t>
            </w:r>
          </w:p>
        </w:tc>
        <w:tc>
          <w:tcPr>
            <w:tcW w:type="dxa" w:w="493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sz w:val="18"/>
              </w:rPr>
              <w:t>离线流程的比较图，不能用作真实模型效果图。</w:t>
            </w:r>
          </w:p>
        </w:tc>
      </w:tr>
      <w:tr>
        <w:trPr>
          <w:cantSplit/>
        </w:trPr>
        <w:tc>
          <w:tcPr>
            <w:tcW w:type="dxa" w:w="4365"/>
            <w:vAlign w:val="center"/>
            <w:shd w:fill="F6F8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sz w:val="18"/>
              </w:rPr>
              <w:t>runs/demo/run/replay_summary.json</w:t>
            </w:r>
          </w:p>
        </w:tc>
        <w:tc>
          <w:tcPr>
            <w:tcW w:type="dxa" w:w="4932"/>
            <w:vAlign w:val="center"/>
            <w:shd w:fill="F6F8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sz w:val="18"/>
              </w:rPr>
              <w:t>各后端对已保存状态的判定应一致。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二 实验问题与对照组</w:t>
      </w:r>
    </w:p>
    <w:p>
      <w:r>
        <w:t>任务给出原始关系R、可信FD集合F和初始候选S。模型只能返回原记录ID的保留集合。检查器分别检查FD一致性及包含极大性；两者均成立才是合法S修复。满足修复语义并不保证事实正确，也不保证保留元组最多。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44"/>
        <w:gridCol w:w="4025"/>
        <w:gridCol w:w="3628"/>
      </w:tblGrid>
      <w:tr>
        <w:trPr>
          <w:tblHeader/>
          <w:cantSplit/>
        </w:trPr>
        <w:tc>
          <w:tcPr>
            <w:tcW w:type="dxa" w:w="1644"/>
            <w:vAlign w:val="center"/>
            <w:shd w:fill="DCE6F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/>
              <w:spacing w:after="40" w:line="276" w:lineRule="auto"/>
              <w:jc w:val="center"/>
            </w:pPr>
            <w:r>
              <w:rPr>
                <w:b/>
                <w:sz w:val="18"/>
              </w:rPr>
              <w:t>组</w:t>
            </w:r>
          </w:p>
        </w:tc>
        <w:tc>
          <w:tcPr>
            <w:tcW w:type="dxa" w:w="4025"/>
            <w:vAlign w:val="center"/>
            <w:shd w:fill="DCE6F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/>
              <w:spacing w:after="40" w:line="276" w:lineRule="auto"/>
            </w:pPr>
            <w:r>
              <w:rPr>
                <w:b/>
                <w:sz w:val="18"/>
              </w:rPr>
              <w:t>行为</w:t>
            </w:r>
          </w:p>
        </w:tc>
        <w:tc>
          <w:tcPr>
            <w:tcW w:type="dxa" w:w="3628"/>
            <w:vAlign w:val="center"/>
            <w:shd w:fill="DCE6F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/>
              <w:spacing w:after="40" w:line="276" w:lineRule="auto"/>
            </w:pPr>
            <w:r>
              <w:rPr>
                <w:b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164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sz w:val="18"/>
              </w:rPr>
              <w:t>D0</w:t>
            </w:r>
          </w:p>
        </w:tc>
        <w:tc>
          <w:tcPr>
            <w:tcW w:type="dxa" w:w="4025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sz w:val="18"/>
              </w:rPr>
              <w:t>确定性贪心；优先来源分数，再按随机ID</w:t>
            </w:r>
          </w:p>
        </w:tc>
        <w:tc>
          <w:tcPr>
            <w:tcW w:type="dxa" w:w="3628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sz w:val="18"/>
              </w:rPr>
              <w:t>判断是否有必要使用LLM</w:t>
            </w:r>
          </w:p>
        </w:tc>
      </w:tr>
      <w:tr>
        <w:trPr>
          <w:cantSplit/>
        </w:trPr>
        <w:tc>
          <w:tcPr>
            <w:tcW w:type="dxa" w:w="1644"/>
            <w:vAlign w:val="center"/>
            <w:shd w:fill="F6F8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sz w:val="18"/>
              </w:rPr>
              <w:t>D1</w:t>
            </w:r>
          </w:p>
        </w:tc>
        <w:tc>
          <w:tcPr>
            <w:tcW w:type="dxa" w:w="4025"/>
            <w:vAlign w:val="center"/>
            <w:shd w:fill="F6F8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sz w:val="18"/>
              </w:rPr>
              <w:t>穷举最大基数；原记录最多18条</w:t>
            </w:r>
          </w:p>
        </w:tc>
        <w:tc>
          <w:tcPr>
            <w:tcW w:type="dxa" w:w="3628"/>
            <w:vAlign w:val="center"/>
            <w:shd w:fill="F6F8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sz w:val="18"/>
              </w:rPr>
              <w:t>小规模参考，不用于大表</w:t>
            </w:r>
          </w:p>
        </w:tc>
      </w:tr>
      <w:tr>
        <w:trPr>
          <w:cantSplit/>
        </w:trPr>
        <w:tc>
          <w:tcPr>
            <w:tcW w:type="dxa" w:w="164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sz w:val="18"/>
              </w:rPr>
              <w:t>B0</w:t>
            </w:r>
          </w:p>
        </w:tc>
        <w:tc>
          <w:tcPr>
            <w:tcW w:type="dxa" w:w="4025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sz w:val="18"/>
              </w:rPr>
              <w:t>一次模型输出，之后直接评估</w:t>
            </w:r>
          </w:p>
        </w:tc>
        <w:tc>
          <w:tcPr>
            <w:tcW w:type="dxa" w:w="3628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sz w:val="18"/>
              </w:rPr>
              <w:t>直接生成基线</w:t>
            </w:r>
          </w:p>
        </w:tc>
      </w:tr>
      <w:tr>
        <w:trPr>
          <w:cantSplit/>
        </w:trPr>
        <w:tc>
          <w:tcPr>
            <w:tcW w:type="dxa" w:w="1644"/>
            <w:vAlign w:val="center"/>
            <w:shd w:fill="F6F8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sz w:val="18"/>
              </w:rPr>
              <w:t>B1</w:t>
            </w:r>
          </w:p>
        </w:tc>
        <w:tc>
          <w:tcPr>
            <w:tcW w:type="dxa" w:w="4025"/>
            <w:vAlign w:val="center"/>
            <w:shd w:fill="F6F8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sz w:val="18"/>
              </w:rPr>
              <w:t>最多5次输出；反馈只有通过或失败</w:t>
            </w:r>
          </w:p>
        </w:tc>
        <w:tc>
          <w:tcPr>
            <w:tcW w:type="dxa" w:w="3628"/>
            <w:vAlign w:val="center"/>
            <w:shd w:fill="F6F8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sz w:val="18"/>
              </w:rPr>
              <w:t>反馈内容基线</w:t>
            </w:r>
          </w:p>
        </w:tc>
      </w:tr>
      <w:tr>
        <w:trPr>
          <w:cantSplit/>
        </w:trPr>
        <w:tc>
          <w:tcPr>
            <w:tcW w:type="dxa" w:w="164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sz w:val="18"/>
              </w:rPr>
              <w:t>B2</w:t>
            </w:r>
          </w:p>
        </w:tc>
        <w:tc>
          <w:tcPr>
            <w:tcW w:type="dxa" w:w="4025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sz w:val="18"/>
              </w:rPr>
              <w:t>同样轮数；全部冲突或可加回见证</w:t>
            </w:r>
          </w:p>
        </w:tc>
        <w:tc>
          <w:tcPr>
            <w:tcW w:type="dxa" w:w="3628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sz w:val="18"/>
              </w:rPr>
              <w:t>完整反例反馈</w:t>
            </w:r>
          </w:p>
        </w:tc>
      </w:tr>
      <w:tr>
        <w:trPr>
          <w:cantSplit/>
        </w:trPr>
        <w:tc>
          <w:tcPr>
            <w:tcW w:type="dxa" w:w="1644"/>
            <w:vAlign w:val="center"/>
            <w:shd w:fill="F6F8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sz w:val="18"/>
              </w:rPr>
              <w:t>B3</w:t>
            </w:r>
          </w:p>
        </w:tc>
        <w:tc>
          <w:tcPr>
            <w:tcW w:type="dxa" w:w="4025"/>
            <w:vAlign w:val="center"/>
            <w:shd w:fill="F6F8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sz w:val="18"/>
              </w:rPr>
              <w:t>预算内按覆盖范围选见证</w:t>
            </w:r>
          </w:p>
        </w:tc>
        <w:tc>
          <w:tcPr>
            <w:tcW w:type="dxa" w:w="3628"/>
            <w:vAlign w:val="center"/>
            <w:shd w:fill="F6F8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sz w:val="18"/>
              </w:rPr>
              <w:t>拟研究的方法</w:t>
            </w:r>
          </w:p>
        </w:tc>
      </w:tr>
      <w:tr>
        <w:trPr>
          <w:cantSplit/>
        </w:trPr>
        <w:tc>
          <w:tcPr>
            <w:tcW w:type="dxa" w:w="164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sz w:val="18"/>
              </w:rPr>
              <w:t>B3_truncate</w:t>
            </w:r>
          </w:p>
        </w:tc>
        <w:tc>
          <w:tcPr>
            <w:tcW w:type="dxa" w:w="4025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sz w:val="18"/>
              </w:rPr>
              <w:t>预算内依次截取见证</w:t>
            </w:r>
          </w:p>
        </w:tc>
        <w:tc>
          <w:tcPr>
            <w:tcW w:type="dxa" w:w="3628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sz w:val="18"/>
              </w:rPr>
              <w:t>排除仅压缩长度的作用</w:t>
            </w:r>
          </w:p>
        </w:tc>
      </w:tr>
      <w:tr>
        <w:trPr>
          <w:cantSplit/>
        </w:trPr>
        <w:tc>
          <w:tcPr>
            <w:tcW w:type="dxa" w:w="1644"/>
            <w:vAlign w:val="center"/>
            <w:shd w:fill="F6F8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sz w:val="18"/>
              </w:rPr>
              <w:t>B3_random</w:t>
            </w:r>
          </w:p>
        </w:tc>
        <w:tc>
          <w:tcPr>
            <w:tcW w:type="dxa" w:w="4025"/>
            <w:vAlign w:val="center"/>
            <w:shd w:fill="F6F8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sz w:val="18"/>
              </w:rPr>
              <w:t>预算内随机选择见证</w:t>
            </w:r>
          </w:p>
        </w:tc>
        <w:tc>
          <w:tcPr>
            <w:tcW w:type="dxa" w:w="3628"/>
            <w:vAlign w:val="center"/>
            <w:shd w:fill="F6F8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sz w:val="18"/>
              </w:rPr>
              <w:t>排除随机挑选也有效的情况</w:t>
            </w:r>
          </w:p>
        </w:tc>
      </w:tr>
    </w:tbl>
    <w:p>
      <w:pPr>
        <w:spacing w:after="40"/>
      </w:pPr>
    </w:p>
    <w:p>
      <w:r>
        <w:t>B组首轮消息相同。反馈上限为1600 UTF8字节，输入总量另设15000字节上限，输出最多2048 tokens。字节预算不是精确token预算；真实用量另行记录。B2若放不下全部见证，返回明确的溢出状态，不冒充已完整传递。主比较B2与B1；B3的对照必须同时运行截断与随机组。</w:t>
      </w:r>
    </w:p>
    <w:p>
      <w:r>
        <w:t>C0不给来源证据，只用于结构与约束修复；C1给有重叠、会误导的来源分数。合成字段使用统一格式的随机值，去除真假专用前缀。C0不能单靠约束恢复未知事实真值，C1也只是带噪统计信号。后续必须加入有业务语义的独立数据，才能讨论LLM的语义选择价值。</w:t>
      </w:r>
    </w:p>
    <w:p>
      <w:pPr>
        <w:pStyle w:val="Heading1"/>
      </w:pPr>
      <w:r>
        <w:t>理论部分怎么继续</w:t>
      </w:r>
    </w:p>
    <w:p>
      <w:r>
        <w:t>先形式化反馈选择目标和预算，研究见证覆盖、依赖结构与候选更新范围；再比较增量维护与全量重新检查。若允许受限、单调的删除及恢复策略，可研究终止条件。一般LLM反复自由改写不自带收敛保证。将工具包装成Agent本身不是新的理论贡献。</w:t>
      </w:r>
    </w:p>
    <w:p>
      <w:r>
        <w:br w:type="page"/>
      </w:r>
    </w:p>
    <w:p>
      <w:pPr>
        <w:pStyle w:val="Heading1"/>
      </w:pPr>
      <w:r>
        <w:t>三 按顺序做正式实验</w:t>
      </w:r>
    </w:p>
    <w:p>
      <w:r>
        <w:t>步骤1 在dev上调试提示和参数。步骤2 用pilot做预算与失败率预估。步骤3 冻结配置后生成test；不要再依据test表现改提示。split、seed与任务编号共同确定独立随机实例，30个组合单元按循环分配，600条时完全均衡。</w:t>
      </w:r>
    </w:p>
    <w:p>
      <w:pPr>
        <w:spacing w:line="252" w:lineRule="auto" w:after="100"/>
      </w:pPr>
      <w:r>
        <w:rPr>
          <w:rFonts w:ascii="Consolas" w:hAnsi="Consolas" w:eastAsia="宋体"/>
          <w:sz w:val="17"/>
        </w:rPr>
        <w:t>python -m repair_agent generate --out data/dev --count 60 --split dev --seed 42</w:t>
        <w:br/>
        <w:t>python -m repair_agent generate --out data/pilot --count 100 --split pilot --seed 42</w:t>
        <w:br/>
        <w:t>python -m repair_agent generate --out data/test --count 600 --split test --seed 42</w:t>
      </w:r>
    </w:p>
    <w:p>
      <w:r>
        <w:t>每组包括3种键结构、5类初始错误及C0/C1两种证据设置。默认每实例20个真实实体，约20至28条原记录；注入比例随任务区段取5%、15%、30%，这只是可复现的试验生成器，并非真实脏数据分布。30个任务不能覆盖全部注入比例，后续应显式扩展控制变量设计。</w:t>
      </w:r>
    </w:p>
    <w:p>
      <w:r>
        <w:t>步骤4 先做离线模拟，确认文件和评估能正常生成。命令中未指定mode时默认simulate，不会联网。</w:t>
      </w:r>
    </w:p>
    <w:p>
      <w:pPr>
        <w:spacing w:line="252" w:lineRule="auto" w:after="100"/>
      </w:pPr>
      <w:r>
        <w:rPr>
          <w:rFonts w:ascii="Consolas" w:hAnsi="Consolas" w:eastAsia="宋体"/>
          <w:sz w:val="17"/>
        </w:rPr>
        <w:t>python -m repair_agent run --data data/pilot/public.jsonl --out runs/pilot-offline --repeats 3</w:t>
      </w:r>
    </w:p>
    <w:p>
      <w:r>
        <w:t>步骤5 完成模型账号与价格核对后，再执行下一页的真实模型命令。加入全部反馈对照时，每个任务每次重复最多26次请求；默认四个B组最多16次。建议pilot先只运行默认组，再决定是否投入正式实验。</w:t>
      </w:r>
    </w:p>
    <w:p>
      <w:pPr>
        <w:spacing w:line="252" w:lineRule="auto" w:after="100"/>
      </w:pPr>
      <w:r>
        <w:rPr>
          <w:rFonts w:ascii="Consolas" w:hAnsi="Consolas" w:eastAsia="宋体"/>
          <w:sz w:val="17"/>
        </w:rPr>
        <w:t>python -m repair_agent run --data data/test/public.jsonl --out runs/qwen-test --config configs/qwen-formal.json --mode live --live --repeats 3 --arms D0,B0,B1,B2,B3,B3_truncate,B3_random</w:t>
      </w:r>
    </w:p>
    <w:p>
      <w:r>
        <w:t>运行前复制qwen-pilot.json为qwen-formal.json，并把max_requests与budget_cny调到足以完成矩阵的值。600条、3次重复、6个B组的请求上限为46800，示例pilot配置的5000请求不能完成正式全组实验。不要在同一运行目录中换模型、预算、提示版本或代码；程序会拒绝混用。</w:t>
      </w:r>
    </w:p>
    <w:p>
      <w:r>
        <w:t>D1只做很小的参考实验。生成entities为8的数据通常不超过18条记录，再用--arms D0,D1运行。默认20实体的数据对D1会标记REFERENCE_SIZE_LIMIT，不能把这种终态解释为算法不正确。</w:t>
      </w:r>
    </w:p>
    <w:p>
      <w:r>
        <w:br w:type="page"/>
      </w:r>
    </w:p>
    <w:p>
      <w:pPr>
        <w:pStyle w:val="Heading1"/>
      </w:pPr>
      <w:r>
        <w:t>四 模型接入与费用</w:t>
      </w:r>
    </w:p>
    <w:p>
      <w:r>
        <w:t>建议主试验用Qwen固定快照qwen3.7-flash-2026-07-15，北京地域；第二模型用GLM-4.7-Flash做外部验证。先不开GPU、不做训练。程序已包含两种客户端，但尚未调用真实服务验证账号权限或测量实际效果。</w:t>
      </w:r>
    </w:p>
    <w:p>
      <w:r>
        <w:t>官方账号中自行创建API key。Qwen使用当前进程环境变量DASHSCOPE_API_KEY；智谱使用ZAI_API_KEY。配置文件仅存模型、单价和预算，不存密钥；程序不自动读取.env。不要将密钥粘贴到聊天、仓库或Word。可在PowerShell中通过隐藏输入临时设置：</w:t>
      </w:r>
    </w:p>
    <w:p>
      <w:pPr>
        <w:spacing w:line="252" w:lineRule="auto" w:after="100"/>
      </w:pPr>
      <w:r>
        <w:rPr>
          <w:rFonts w:ascii="Consolas" w:hAnsi="Consolas" w:eastAsia="宋体"/>
          <w:sz w:val="17"/>
        </w:rPr>
        <w:t>$s = Read-Host "Qwen API key" -AsSecureString</w:t>
        <w:br/>
        <w:t>$b = [Runtime.InteropServices.Marshal]::SecureStringToBSTR($s)</w:t>
        <w:br/>
        <w:t>try {</w:t>
        <w:br/>
        <w:t xml:space="preserve">  $env:DASHSCOPE_API_KEY = [Runtime.InteropServices.Marshal]::PtrToStringBSTR($b)</w:t>
        <w:br/>
        <w:t>} finally { [Runtime.InteropServices.Marshal]::ZeroFreeBSTR($b) }</w:t>
      </w:r>
    </w:p>
    <w:p>
      <w:pPr>
        <w:spacing w:line="252" w:lineRule="auto" w:after="100"/>
      </w:pPr>
      <w:r>
        <w:rPr>
          <w:rFonts w:ascii="Consolas" w:hAnsi="Consolas" w:eastAsia="宋体"/>
          <w:sz w:val="17"/>
        </w:rPr>
        <w:t>python -m repair_agent estimate --config configs/qwen-pilot.json --tasks 100 --repeats 3</w:t>
        <w:br/>
        <w:t>python -m repair_agent run --data data/pilot/public.jsonl --out runs/qwen-pilot --config configs/qwen-pilot.json --mode live --live --repeats 3</w:t>
      </w:r>
    </w:p>
    <w:p>
      <w:r>
        <w:t>真实运行完成后执行Remove-Item Env:DASHSCOPE_API_KEY清除当前进程变量。GLM接入时改变量名和配置为configs/glm-free.json；模型免费不等于没有速率限制。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236"/>
        <w:gridCol w:w="3061"/>
      </w:tblGrid>
      <w:tr>
        <w:trPr>
          <w:tblHeader/>
          <w:cantSplit/>
        </w:trPr>
        <w:tc>
          <w:tcPr>
            <w:tcW w:type="dxa" w:w="6236"/>
            <w:vAlign w:val="center"/>
            <w:shd w:fill="DCE6F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/>
              <w:spacing w:after="40" w:line="276" w:lineRule="auto"/>
              <w:jc w:val="center"/>
            </w:pPr>
            <w:r>
              <w:rPr>
                <w:b/>
                <w:sz w:val="18"/>
              </w:rPr>
              <w:t>规模和假设</w:t>
            </w:r>
          </w:p>
        </w:tc>
        <w:tc>
          <w:tcPr>
            <w:tcW w:type="dxa" w:w="3061"/>
            <w:vAlign w:val="center"/>
            <w:shd w:fill="DCE6F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/>
              <w:spacing w:after="40" w:line="276" w:lineRule="auto"/>
            </w:pPr>
            <w:r>
              <w:rPr>
                <w:b/>
                <w:sz w:val="18"/>
              </w:rPr>
              <w:t>API估算</w:t>
            </w:r>
          </w:p>
        </w:tc>
      </w:tr>
      <w:tr>
        <w:trPr>
          <w:cantSplit/>
        </w:trPr>
        <w:tc>
          <w:tcPr>
            <w:tcW w:type="dxa" w:w="623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sz w:val="18"/>
              </w:rPr>
              <w:t>离线验证与合成数据</w:t>
            </w:r>
          </w:p>
        </w:tc>
        <w:tc>
          <w:tcPr>
            <w:tcW w:type="dxa" w:w="306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sz w:val="18"/>
              </w:rPr>
              <w:t>0元，无GPU租金</w:t>
            </w:r>
          </w:p>
        </w:tc>
      </w:tr>
      <w:tr>
        <w:trPr>
          <w:cantSplit/>
        </w:trPr>
        <w:tc>
          <w:tcPr>
            <w:tcW w:type="dxa" w:w="6236"/>
            <w:vAlign w:val="center"/>
            <w:shd w:fill="F6F8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sz w:val="18"/>
              </w:rPr>
              <w:t>100任务 × 3重复 × 最多16调用</w:t>
            </w:r>
          </w:p>
        </w:tc>
        <w:tc>
          <w:tcPr>
            <w:tcW w:type="dxa" w:w="3061"/>
            <w:vAlign w:val="center"/>
            <w:shd w:fill="F6F8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sz w:val="18"/>
              </w:rPr>
              <w:t>约7.87元；加20%余量约9.45元</w:t>
            </w:r>
          </w:p>
        </w:tc>
      </w:tr>
      <w:tr>
        <w:trPr>
          <w:cantSplit/>
        </w:trPr>
        <w:tc>
          <w:tcPr>
            <w:tcW w:type="dxa" w:w="6236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sz w:val="18"/>
              </w:rPr>
              <w:t>600任务 × 3重复 × 最多16调用</w:t>
            </w:r>
          </w:p>
        </w:tc>
        <w:tc>
          <w:tcPr>
            <w:tcW w:type="dxa" w:w="3061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sz w:val="18"/>
              </w:rPr>
              <w:t>约47.23元；加20%余量约56.68元</w:t>
            </w:r>
          </w:p>
        </w:tc>
      </w:tr>
      <w:tr>
        <w:trPr>
          <w:cantSplit/>
        </w:trPr>
        <w:tc>
          <w:tcPr>
            <w:tcW w:type="dxa" w:w="6236"/>
            <w:vAlign w:val="center"/>
            <w:shd w:fill="F6F8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sz w:val="18"/>
              </w:rPr>
              <w:t>600任务 × 3重复 × 最多26调用</w:t>
            </w:r>
          </w:p>
        </w:tc>
        <w:tc>
          <w:tcPr>
            <w:tcW w:type="dxa" w:w="3061"/>
            <w:vAlign w:val="center"/>
            <w:shd w:fill="F6F8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sz w:val="18"/>
              </w:rPr>
              <w:t>约76.75元；加20%余量约92.10元</w:t>
            </w:r>
          </w:p>
        </w:tc>
      </w:tr>
    </w:tbl>
    <w:p>
      <w:pPr>
        <w:spacing w:after="40"/>
      </w:pPr>
    </w:p>
    <w:p>
      <w:r>
        <w:t>上表按每调用5000输入、800输出tokens，输入0.2元、输出0.8元每百万tokens估算；不是实测账单或价格承诺。先准备20元pilot预算，整套单Qwen实验可先预留100至150元。长历史、补跑、额外模型会增加费用；免费GLM的可用性以账号控制台为准。[1][2]</w:t>
      </w:r>
    </w:p>
    <w:p>
      <w:r>
        <w:t>SQLite账本先预留再请求，超时保留可能已发生的费用且不自动重试；中断恢复使用缓存。配置预算是基于单价和token上界估算的本地保护，并非供应商级绝对扣费上限。请同时在供应商后台设消费限制；实际账单以供应商为准。</w:t>
      </w:r>
    </w:p>
    <w:p>
      <w:r>
        <w:br w:type="page"/>
      </w:r>
    </w:p>
    <w:p>
      <w:pPr>
        <w:pStyle w:val="Heading1"/>
      </w:pPr>
      <w:r>
        <w:t>五 评估结果与故障处理</w:t>
      </w:r>
    </w:p>
    <w:p>
      <w:pPr>
        <w:spacing w:line="252" w:lineRule="auto" w:after="100"/>
      </w:pPr>
      <w:r>
        <w:rPr>
          <w:rFonts w:ascii="Consolas" w:hAnsi="Consolas" w:eastAsia="宋体"/>
          <w:sz w:val="17"/>
        </w:rPr>
        <w:t>python -m repair_agent evaluate --run runs/qwen-pilot --truth data/pilot/private_truth.jsonl</w:t>
        <w:br/>
        <w:t>python -m repair_agent analyze --run runs/qwen-pilot</w:t>
        <w:br/>
        <w:t>python -m repair_agent replay --run runs/qwen-pilot</w:t>
        <w:br/>
        <w:t>python -m repair_agent status --run runs/qwen-pilot</w:t>
      </w:r>
    </w:p>
    <w:p>
      <w:r>
        <w:t>重点一起看合法修复率、精确率召回率F1、平均轮数、请求数与费用。合法修复不必与注入真值集合完全相同。所有失败与缺失结果留在分母；重复先在同一任务内平均，置信区间按基础实例配对bootstrap，避免把重复调用当作独立样本。</w:t>
      </w:r>
    </w:p>
    <w:p>
      <w:r>
        <w:t>results.jsonl保留每轮候选和反馈。replay在这些相同候选上比较一般FD、BCNF静态与增量检查，剔除模型和文件读取耗时。初始化时间单列，静态时间包含适配器快照检查；小规模结果不能证明大表加速。非BCNF实例会明确跳过三后端比较并计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58"/>
        <w:gridCol w:w="5839"/>
      </w:tblGrid>
      <w:tr>
        <w:trPr>
          <w:tblHeader/>
          <w:cantSplit/>
        </w:trPr>
        <w:tc>
          <w:tcPr>
            <w:tcW w:type="dxa" w:w="3458"/>
            <w:vAlign w:val="center"/>
            <w:shd w:fill="DCE6F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/>
              <w:spacing w:after="40" w:line="276" w:lineRule="auto"/>
              <w:jc w:val="center"/>
            </w:pPr>
            <w:r>
              <w:rPr>
                <w:b/>
                <w:sz w:val="18"/>
              </w:rPr>
              <w:t>状态或报错</w:t>
            </w:r>
          </w:p>
        </w:tc>
        <w:tc>
          <w:tcPr>
            <w:tcW w:type="dxa" w:w="5839"/>
            <w:vAlign w:val="center"/>
            <w:shd w:fill="DCE6F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/>
              <w:spacing w:after="40" w:line="276" w:lineRule="auto"/>
            </w:pPr>
            <w:r>
              <w:rPr>
                <w:b/>
                <w:sz w:val="18"/>
              </w:rPr>
              <w:t>怎么处理</w:t>
            </w:r>
          </w:p>
        </w:tc>
      </w:tr>
      <w:tr>
        <w:trPr>
          <w:cantSplit/>
        </w:trPr>
        <w:tc>
          <w:tcPr>
            <w:tcW w:type="dxa" w:w="3458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sz w:val="18"/>
              </w:rPr>
              <w:t>MISSING_CREDENTIAL</w:t>
            </w:r>
          </w:p>
        </w:tc>
        <w:tc>
          <w:tcPr>
            <w:tcW w:type="dxa" w:w="5839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sz w:val="18"/>
              </w:rPr>
              <w:t>给当前进程设置对应环境变量；不要编辑代码写密钥。</w:t>
            </w:r>
          </w:p>
        </w:tc>
      </w:tr>
      <w:tr>
        <w:trPr>
          <w:cantSplit/>
        </w:trPr>
        <w:tc>
          <w:tcPr>
            <w:tcW w:type="dxa" w:w="3458"/>
            <w:vAlign w:val="center"/>
            <w:shd w:fill="F6F8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sz w:val="18"/>
              </w:rPr>
              <w:t>HTTP_429或NETWORK_ERROR</w:t>
            </w:r>
          </w:p>
        </w:tc>
        <w:tc>
          <w:tcPr>
            <w:tcW w:type="dxa" w:w="5839"/>
            <w:vAlign w:val="center"/>
            <w:shd w:fill="F6F8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sz w:val="18"/>
              </w:rPr>
              <w:t>查看供应商后台。结果已留存，不自动重试；另建补跑目录并说明补跑规则。</w:t>
            </w:r>
          </w:p>
        </w:tc>
      </w:tr>
      <w:tr>
        <w:trPr>
          <w:cantSplit/>
        </w:trPr>
        <w:tc>
          <w:tcPr>
            <w:tcW w:type="dxa" w:w="3458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sz w:val="18"/>
              </w:rPr>
              <w:t>REQUEST_UNCERTAIN</w:t>
            </w:r>
          </w:p>
        </w:tc>
        <w:tc>
          <w:tcPr>
            <w:tcW w:type="dxa" w:w="5839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sz w:val="18"/>
              </w:rPr>
              <w:t>以前请求结果不确定，费用保留。核对账单后再人工决定是否另开实验。</w:t>
            </w:r>
          </w:p>
        </w:tc>
      </w:tr>
      <w:tr>
        <w:trPr>
          <w:cantSplit/>
        </w:trPr>
        <w:tc>
          <w:tcPr>
            <w:tcW w:type="dxa" w:w="3458"/>
            <w:vAlign w:val="center"/>
            <w:shd w:fill="F6F8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sz w:val="18"/>
              </w:rPr>
              <w:t>BUDGET_LIMIT</w:t>
            </w:r>
          </w:p>
        </w:tc>
        <w:tc>
          <w:tcPr>
            <w:tcW w:type="dxa" w:w="5839"/>
            <w:vAlign w:val="center"/>
            <w:shd w:fill="F6F8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sz w:val="18"/>
              </w:rPr>
              <w:t>本次结果留在分母；下次用新配置新目录，勿删除账本绕过预算。</w:t>
            </w:r>
          </w:p>
        </w:tc>
      </w:tr>
      <w:tr>
        <w:trPr>
          <w:cantSplit/>
        </w:trPr>
        <w:tc>
          <w:tcPr>
            <w:tcW w:type="dxa" w:w="3458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sz w:val="18"/>
              </w:rPr>
              <w:t>CONTEXT_LIMIT</w:t>
            </w:r>
          </w:p>
        </w:tc>
        <w:tc>
          <w:tcPr>
            <w:tcW w:type="dxa" w:w="5839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sz w:val="18"/>
              </w:rPr>
              <w:t>表或历史超出字节上限。缩小实例，改配置后重建运行目录。</w:t>
            </w:r>
          </w:p>
        </w:tc>
      </w:tr>
      <w:tr>
        <w:trPr>
          <w:cantSplit/>
        </w:trPr>
        <w:tc>
          <w:tcPr>
            <w:tcW w:type="dxa" w:w="3458"/>
            <w:vAlign w:val="center"/>
            <w:shd w:fill="F6F8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sz w:val="18"/>
              </w:rPr>
              <w:t>INVALID_OUTPUT或REPEATED_STATE</w:t>
            </w:r>
          </w:p>
        </w:tc>
        <w:tc>
          <w:tcPr>
            <w:tcW w:type="dxa" w:w="5839"/>
            <w:vAlign w:val="center"/>
            <w:shd w:fill="F6F8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sz w:val="18"/>
              </w:rPr>
              <w:t>属于模型失败；分析占比，不能静默修正ID后冒充成功。</w:t>
            </w:r>
          </w:p>
        </w:tc>
      </w:tr>
      <w:tr>
        <w:trPr>
          <w:cantSplit/>
        </w:trPr>
        <w:tc>
          <w:tcPr>
            <w:tcW w:type="dxa" w:w="3458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  <w:jc w:val="center"/>
            </w:pPr>
            <w:r>
              <w:rPr>
                <w:sz w:val="18"/>
              </w:rPr>
              <w:t>配置或代码hash发生变化</w:t>
            </w:r>
          </w:p>
        </w:tc>
        <w:tc>
          <w:tcPr>
            <w:tcW w:type="dxa" w:w="5839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sz w:val="18"/>
              </w:rPr>
              <w:t>旧结果保持冻结，新建运行目录。</w:t>
            </w:r>
          </w:p>
        </w:tc>
      </w:tr>
      <w:tr>
        <w:trPr>
          <w:cantSplit/>
        </w:trPr>
        <w:tc>
          <w:tcPr>
            <w:tcW w:type="dxa" w:w="3458"/>
            <w:vAlign w:val="center"/>
            <w:shd w:fill="F6F8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sz w:val="18"/>
              </w:rPr>
              <w:t>dataset directory already exists</w:t>
            </w:r>
          </w:p>
        </w:tc>
        <w:tc>
          <w:tcPr>
            <w:tcW w:type="dxa" w:w="5839"/>
            <w:vAlign w:val="center"/>
            <w:shd w:fill="F6F8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sz w:val="18"/>
              </w:rPr>
              <w:t>选新数据目录，不会覆盖已有冻结数据。</w:t>
            </w:r>
          </w:p>
        </w:tc>
      </w:tr>
    </w:tbl>
    <w:p>
      <w:pPr>
        <w:spacing w:after="40"/>
      </w:pPr>
    </w:p>
    <w:p>
      <w:pPr>
        <w:pStyle w:val="Heading1"/>
      </w:pPr>
      <w:r>
        <w:t>正式实验继续之前</w:t>
      </w:r>
    </w:p>
    <w:p>
      <w:r>
        <w:t>先核对pilot是否出现明显的模型无效性：若D0与B组差不多，或模型仅靠来源分数排序就能完成，不要扩大花费。增加受约束的业务语义案例，并用预先固定的评价规则测试LLM是否提供独立价值。只有出现稳定收益，再推进B3的理论分析和真实数据验证。</w:t>
      </w:r>
    </w:p>
    <w:p>
      <w:r>
        <w:br w:type="page"/>
      </w:r>
    </w:p>
    <w:p>
      <w:pPr>
        <w:pStyle w:val="Heading1"/>
      </w:pPr>
      <w:r>
        <w:t>六 项目文件和交付范围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762"/>
        <w:gridCol w:w="4535"/>
      </w:tblGrid>
      <w:tr>
        <w:trPr>
          <w:tblHeader/>
          <w:cantSplit/>
        </w:trPr>
        <w:tc>
          <w:tcPr>
            <w:tcW w:type="dxa" w:w="4762"/>
            <w:vAlign w:val="center"/>
            <w:shd w:fill="DCE6F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/>
              <w:spacing w:after="40" w:line="276" w:lineRule="auto"/>
              <w:jc w:val="center"/>
            </w:pPr>
            <w:r>
              <w:rPr>
                <w:b/>
                <w:sz w:val="18"/>
              </w:rPr>
              <w:t>位置</w:t>
            </w:r>
          </w:p>
        </w:tc>
        <w:tc>
          <w:tcPr>
            <w:tcW w:type="dxa" w:w="4535"/>
            <w:vAlign w:val="center"/>
            <w:shd w:fill="DCE6F1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/>
              <w:spacing w:after="40" w:line="276" w:lineRule="auto"/>
            </w:pPr>
            <w:r>
              <w:rPr>
                <w:b/>
                <w:sz w:val="18"/>
              </w:rPr>
              <w:t>作用</w:t>
            </w:r>
          </w:p>
        </w:tc>
      </w:tr>
      <w:tr>
        <w:trPr>
          <w:cantSplit/>
        </w:trPr>
        <w:tc>
          <w:tcPr>
            <w:tcW w:type="dxa" w:w="476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sz w:val="18"/>
              </w:rPr>
              <w:t>repair_agent/domain.py 与 checker.py</w:t>
            </w:r>
          </w:p>
        </w:tc>
        <w:tc>
          <w:tcPr>
            <w:tcW w:type="dxa" w:w="4535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sz w:val="18"/>
              </w:rPr>
              <w:t>输入边界、一般FD检查及独立诊断</w:t>
            </w:r>
          </w:p>
        </w:tc>
      </w:tr>
      <w:tr>
        <w:trPr>
          <w:cantSplit/>
        </w:trPr>
        <w:tc>
          <w:tcPr>
            <w:tcW w:type="dxa" w:w="4762"/>
            <w:vAlign w:val="center"/>
            <w:shd w:fill="F6F8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sz w:val="18"/>
              </w:rPr>
              <w:t>repair_agent/legacy.py 与 vendor</w:t>
            </w:r>
          </w:p>
        </w:tc>
        <w:tc>
          <w:tcPr>
            <w:tcW w:type="dxa" w:w="4535"/>
            <w:vAlign w:val="center"/>
            <w:shd w:fill="F6F8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sz w:val="18"/>
              </w:rPr>
              <w:t>旧算法只读快照和哈希核对</w:t>
            </w:r>
          </w:p>
        </w:tc>
      </w:tr>
      <w:tr>
        <w:trPr>
          <w:cantSplit/>
        </w:trPr>
        <w:tc>
          <w:tcPr>
            <w:tcW w:type="dxa" w:w="476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sz w:val="18"/>
              </w:rPr>
              <w:t>repair_agent/feedback.py 与 runner.py</w:t>
            </w:r>
          </w:p>
        </w:tc>
        <w:tc>
          <w:tcPr>
            <w:tcW w:type="dxa" w:w="4535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sz w:val="18"/>
              </w:rPr>
              <w:t>反馈对照、提示、回合和终态协议</w:t>
            </w:r>
          </w:p>
        </w:tc>
      </w:tr>
      <w:tr>
        <w:trPr>
          <w:cantSplit/>
        </w:trPr>
        <w:tc>
          <w:tcPr>
            <w:tcW w:type="dxa" w:w="4762"/>
            <w:vAlign w:val="center"/>
            <w:shd w:fill="F6F8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sz w:val="18"/>
              </w:rPr>
              <w:t>repair_agent/model_client.py 与 budget_cache.py</w:t>
            </w:r>
          </w:p>
        </w:tc>
        <w:tc>
          <w:tcPr>
            <w:tcW w:type="dxa" w:w="4535"/>
            <w:vAlign w:val="center"/>
            <w:shd w:fill="F6F8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sz w:val="18"/>
              </w:rPr>
              <w:t>官方模型客户端、预算和缓存</w:t>
            </w:r>
          </w:p>
        </w:tc>
      </w:tr>
      <w:tr>
        <w:trPr>
          <w:cantSplit/>
        </w:trPr>
        <w:tc>
          <w:tcPr>
            <w:tcW w:type="dxa" w:w="476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sz w:val="18"/>
              </w:rPr>
              <w:t>repair_agent/evaluate.py 与 analyze.py</w:t>
            </w:r>
          </w:p>
        </w:tc>
        <w:tc>
          <w:tcPr>
            <w:tcW w:type="dxa" w:w="4535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sz w:val="18"/>
              </w:rPr>
              <w:t>真值隔离的评估、配对统计及图表</w:t>
            </w:r>
          </w:p>
        </w:tc>
      </w:tr>
      <w:tr>
        <w:trPr>
          <w:cantSplit/>
        </w:trPr>
        <w:tc>
          <w:tcPr>
            <w:tcW w:type="dxa" w:w="4762"/>
            <w:vAlign w:val="center"/>
            <w:shd w:fill="F6F8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sz w:val="18"/>
              </w:rPr>
              <w:t>repair_agent/replay.py</w:t>
            </w:r>
          </w:p>
        </w:tc>
        <w:tc>
          <w:tcPr>
            <w:tcW w:type="dxa" w:w="4535"/>
            <w:vAlign w:val="center"/>
            <w:shd w:fill="F6F8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sz w:val="18"/>
              </w:rPr>
              <w:t>固定候选轨迹的后端比较</w:t>
            </w:r>
          </w:p>
        </w:tc>
      </w:tr>
      <w:tr>
        <w:trPr>
          <w:cantSplit/>
        </w:trPr>
        <w:tc>
          <w:tcPr>
            <w:tcW w:type="dxa" w:w="476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sz w:val="18"/>
              </w:rPr>
              <w:t>tests 与 .github/workflows/tests.yml</w:t>
            </w:r>
          </w:p>
        </w:tc>
        <w:tc>
          <w:tcPr>
            <w:tcW w:type="dxa" w:w="4535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sz w:val="18"/>
              </w:rPr>
              <w:t>离线单测与自动化测试</w:t>
            </w:r>
          </w:p>
        </w:tc>
      </w:tr>
      <w:tr>
        <w:trPr>
          <w:cantSplit/>
        </w:trPr>
        <w:tc>
          <w:tcPr>
            <w:tcW w:type="dxa" w:w="4762"/>
            <w:vAlign w:val="center"/>
            <w:shd w:fill="F6F8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sz w:val="18"/>
              </w:rPr>
              <w:t>configs 与 run.ps1</w:t>
            </w:r>
          </w:p>
        </w:tc>
        <w:tc>
          <w:tcPr>
            <w:tcW w:type="dxa" w:w="4535"/>
            <w:vAlign w:val="center"/>
            <w:shd w:fill="F6F8FA"/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40" w:line="276" w:lineRule="auto"/>
            </w:pPr>
            <w:r>
              <w:rPr>
                <w:sz w:val="18"/>
              </w:rPr>
              <w:t>模型配置样例与Windows入口</w:t>
            </w:r>
          </w:p>
        </w:tc>
      </w:tr>
    </w:tbl>
    <w:p>
      <w:pPr>
        <w:spacing w:after="40"/>
      </w:pPr>
    </w:p>
    <w:p>
      <w:r>
        <w:t>公开仓库只放项目代码、使用说明和合成数据生成器。投稿论文、审稿过程、下载PDF、密钥、费用账本及真实实验运行目录不上传。代码公开尚未选择开源许可证；公开可见与授予使用许可不是同一件事。</w:t>
      </w:r>
    </w:p>
    <w:p>
      <w:r>
        <w:t>仓库地址：https://github.com/coconutwatersysdmg/bcnf-repair-agent</w:t>
      </w:r>
    </w:p>
    <w:p>
      <w:pPr>
        <w:pStyle w:val="Heading1"/>
      </w:pPr>
      <w:r>
        <w:t>当前实验边界</w:t>
      </w:r>
    </w:p>
    <w:p>
      <w:r>
        <w:t>第一版只支持可信FD、字符串、集合语义和元组保留删除，不支持NULL、外键、单元格修改或新事实生成。当前B3是可复现的启发式反馈选择器，未证明近似界；项目不声称已经取得论文级创新或实测性能收益。后续优先补业务语义数据、规模实验和理论性质，再考虑多表。</w:t>
      </w:r>
    </w:p>
    <w:p>
      <w:pPr>
        <w:pStyle w:val="Heading1"/>
      </w:pPr>
      <w:r>
        <w:t>价格与模型官方来源</w:t>
      </w:r>
    </w:p>
    <w:p>
      <w:r>
        <w:t>[1] 阿里云百炼模型价格。按北京地域、对应输入区间核对；代码上限控制在短上下文区间。核对日2026年10月18日。</w:t>
        <w:br/>
        <w:t>https://help.aliyun.com/zh/model-studio/model-pricing</w:t>
      </w:r>
    </w:p>
    <w:p>
      <w:r>
        <w:t>[2] 智谱 GLM 4.7 Flash 官方发布说明，2026年1月19日；宣布在BigModel免费调用，运行前仍需确认账号当前政策。</w:t>
        <w:br/>
        <w:t>https://www.zhipuai.cn/zh/news/148</w:t>
      </w:r>
    </w:p>
    <w:p>
      <w:r>
        <w:t>[3] Qwen 3.7 Flash 官方模型说明与快照信息。</w:t>
        <w:br/>
        <w:t>https://help.aliyun.com/zh/model-studio/qwen3-7-flash</w:t>
      </w:r>
    </w:p>
    <w:sectPr w:rsidR="00FC693F" w:rsidRPr="0006063C" w:rsidSect="00034616">
      <w:footerReference w:type="default" r:id="rId9"/>
      <w:pgSz w:w="11906" w:h="16838"/>
      <w:pgMar w:top="1191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20"/>
    </w:pPr>
    <w:rPr>
      <w:rFonts w:ascii="Calibri" w:hAnsi="Calibri" w:eastAsia="宋体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微软雅黑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 w:eastAsia="微软雅黑"/>
      <w:i w:val="0"/>
      <w:iCs/>
      <w:color w:val="000000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BCNF 修复智能体实验操作手册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