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D4ED8"/>
        </w:rPr>
        <w:t>CRM_Export_Prospects</w:t>
      </w:r>
    </w:p>
    <w:p>
      <w:r>
        <w:rPr>
          <w:i/>
          <w:color w:val="6B7280"/>
          <w:sz w:val="19"/>
        </w:rPr>
        <w:t>Source du parsing : manual</w:t>
      </w:r>
    </w:p>
    <w:p>
      <w:r>
        <w:rPr>
          <w:sz w:val="22"/>
        </w:rPr>
        <w:t>Exporte chaque semaine les prospects qualifiés du CRM vers un fichier utilisé par l'outil d'emailing pour la campagne marketing.</w:t>
        <w:br/>
      </w:r>
    </w:p>
    <w:p>
      <w:pPr>
        <w:pStyle w:val="Heading2"/>
      </w:pPr>
      <w:r>
        <w:rPr>
          <w:color w:val="1B1F24"/>
        </w:rPr>
        <w:t>Fiche d'identité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Propriétaire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Equipe Marketing Ops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Version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Non renseigné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Planification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Hebdomadaire - lundi 06:00</w:t>
            </w:r>
          </w:p>
        </w:tc>
      </w:tr>
      <w:tr>
        <w:tc>
          <w:tcPr>
            <w:tcW w:type="dxa" w:w="4986"/>
            <w:shd w:val="clear" w:color="auto" w:fill="EFF3FA"/>
          </w:tcPr>
          <w:p>
            <w:r/>
            <w:r>
              <w:rPr>
                <w:b/>
                <w:i w:val="0"/>
                <w:sz w:val="20"/>
              </w:rPr>
              <w:t>Source du parsing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i w:val="0"/>
                <w:sz w:val="20"/>
              </w:rPr>
              <w:t>manual</w:t>
            </w:r>
          </w:p>
        </w:tc>
      </w:tr>
    </w:tbl>
    <w:p>
      <w:pPr>
        <w:pStyle w:val="Heading2"/>
      </w:pPr>
      <w:r>
        <w:rPr>
          <w:color w:val="1B1F24"/>
        </w:rPr>
        <w:t>Systèmes impliqués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/>
              </w:rPr>
              <w:t>Systèmes source</w:t>
            </w:r>
          </w:p>
          <w:p>
            <w:pPr>
              <w:pStyle w:val="ListBullet"/>
            </w:pPr>
            <w:r>
              <w:t>CRM Salesforce</w:t>
            </w:r>
          </w:p>
        </w:tc>
        <w:tc>
          <w:tcPr>
            <w:tcW w:type="dxa" w:w="4986"/>
          </w:tcPr>
          <w:p>
            <w:r/>
            <w:r>
              <w:rPr>
                <w:b/>
              </w:rPr>
              <w:t>Systèmes cible</w:t>
            </w:r>
          </w:p>
          <w:p>
            <w:pPr>
              <w:pStyle w:val="ListBullet"/>
            </w:pPr>
            <w:r>
              <w:t>Outil Emailing (Mailjet)</w:t>
            </w:r>
          </w:p>
        </w:tc>
      </w:tr>
    </w:tbl>
    <w:p>
      <w:pPr>
        <w:pStyle w:val="Heading2"/>
      </w:pPr>
      <w:r>
        <w:rPr>
          <w:color w:val="1B1F24"/>
        </w:rPr>
        <w:t>Schéma du flux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tcBorders>
              <w:top w:val="single" w:sz="4" w:color="D9DEE4"/>
              <w:left w:val="single" w:sz="4" w:color="D9DEE4"/>
              <w:bottom w:val="single" w:sz="4" w:color="D9DEE4"/>
              <w:right w:val="single" w:sz="4" w:color="D9DEE4"/>
            </w:tcBorders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940000" cy="272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rm-export-prospect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000" cy="272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jc w:val="center"/>
      </w:pPr>
      <w:r>
        <w:rPr>
          <w:i/>
          <w:color w:val="6B7280"/>
          <w:sz w:val="18"/>
        </w:rPr>
        <w:t>Capture d'écran du canevas Talend.</w:t>
      </w:r>
    </w:p>
    <w:p>
      <w:pPr>
        <w:pStyle w:val="Heading2"/>
      </w:pPr>
      <w:r>
        <w:rPr>
          <w:color w:val="1B1F24"/>
        </w:rPr>
        <w:t>Composants</w:t>
      </w:r>
    </w:p>
    <w:p>
      <w:r>
        <w:rPr>
          <w:color w:val="2563EB"/>
          <w:sz w:val="18"/>
        </w:rPr>
        <w:t xml:space="preserve">■ </w:t>
      </w:r>
      <w:r>
        <w:rPr>
          <w:color w:val="6B7280"/>
          <w:sz w:val="18"/>
        </w:rPr>
        <w:t>Source</w:t>
      </w:r>
      <w:r>
        <w:t xml:space="preserve">    </w:t>
      </w:r>
      <w:r>
        <w:rPr>
          <w:color w:val="16A34A"/>
          <w:sz w:val="18"/>
        </w:rPr>
        <w:t xml:space="preserve">■ </w:t>
      </w:r>
      <w:r>
        <w:rPr>
          <w:color w:val="6B7280"/>
          <w:sz w:val="18"/>
        </w:rPr>
        <w:t>Cible</w:t>
      </w:r>
      <w:r>
        <w:t xml:space="preserve">    </w:t>
      </w:r>
      <w:r>
        <w:rPr>
          <w:color w:val="D97706"/>
          <w:sz w:val="18"/>
        </w:rPr>
        <w:t xml:space="preserve">■ </w:t>
      </w:r>
      <w:r>
        <w:rPr>
          <w:color w:val="6B7280"/>
          <w:sz w:val="18"/>
        </w:rPr>
        <w:t>Transformation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Nom</w:t>
            </w:r>
          </w:p>
        </w:tc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3324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tSalesforceInput_1</w:t>
            </w:r>
          </w:p>
        </w:tc>
        <w:tc>
          <w:tcPr>
            <w:tcW w:type="dxa" w:w="3324"/>
            <w:shd w:val="clear" w:color="auto" w:fill="DBEAFE"/>
          </w:tcPr>
          <w:p>
            <w:r/>
            <w:r>
              <w:rPr>
                <w:b w:val="0"/>
                <w:i w:val="0"/>
                <w:sz w:val="20"/>
              </w:rPr>
              <w:t>tSalesforceInput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Extraction des comptes prospects qualifiés (statut = "Qualifié")</w:t>
            </w:r>
          </w:p>
        </w:tc>
      </w:tr>
      <w:tr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tMap_1</w:t>
            </w:r>
          </w:p>
        </w:tc>
        <w:tc>
          <w:tcPr>
            <w:tcW w:type="dxa" w:w="3324"/>
            <w:shd w:val="clear" w:color="auto" w:fill="FEF3C7"/>
          </w:tcPr>
          <w:p>
            <w:r/>
            <w:r>
              <w:rPr>
                <w:b w:val="0"/>
                <w:i w:val="0"/>
                <w:sz w:val="20"/>
              </w:rPr>
              <w:t>tMap</w:t>
            </w:r>
          </w:p>
        </w:tc>
        <w:tc>
          <w:tcPr>
            <w:tcW w:type="dxa" w:w="3324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Normalisation des colonnes (email, prénom, nom, segment)</w:t>
            </w:r>
          </w:p>
        </w:tc>
      </w:tr>
      <w:tr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tFileOutputDelimited_1</w:t>
            </w:r>
          </w:p>
        </w:tc>
        <w:tc>
          <w:tcPr>
            <w:tcW w:type="dxa" w:w="3324"/>
            <w:shd w:val="clear" w:color="auto" w:fill="DCFCE7"/>
          </w:tcPr>
          <w:p>
            <w:r/>
            <w:r>
              <w:rPr>
                <w:b w:val="0"/>
                <w:i w:val="0"/>
                <w:sz w:val="20"/>
              </w:rPr>
              <w:t>tFileOutputDelimited</w:t>
            </w:r>
          </w:p>
        </w:tc>
        <w:tc>
          <w:tcPr>
            <w:tcW w:type="dxa" w:w="3324"/>
          </w:tcPr>
          <w:p>
            <w:r/>
            <w:r>
              <w:rPr>
                <w:b w:val="0"/>
                <w:i w:val="0"/>
                <w:sz w:val="20"/>
              </w:rPr>
              <w:t>Génération du fichier CSV de campagne</w:t>
            </w:r>
          </w:p>
        </w:tc>
      </w:tr>
    </w:tbl>
    <w:p>
      <w:pPr>
        <w:pStyle w:val="Heading2"/>
      </w:pPr>
      <w:r>
        <w:rPr>
          <w:color w:val="1B1F24"/>
        </w:rPr>
        <w:t>Connexions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De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Vers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Type</w:t>
            </w:r>
          </w:p>
        </w:tc>
        <w:tc>
          <w:tcPr>
            <w:tcW w:type="dxa" w:w="2493"/>
            <w:shd w:val="clear" w:color="auto" w:fill="1D4ED8"/>
          </w:tcPr>
          <w:p>
            <w:r/>
            <w:r>
              <w:rPr>
                <w:b/>
                <w:i w:val="0"/>
                <w:color w:val="FFFFFF"/>
                <w:sz w:val="20"/>
              </w:rPr>
              <w:t>Nature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tSalesforceInput_1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tMap_1</w:t>
            </w:r>
          </w:p>
        </w:tc>
        <w:tc>
          <w:tcPr>
            <w:tcW w:type="dxa" w:w="2493"/>
          </w:tcPr>
          <w:p>
            <w:r/>
            <w:r>
              <w:rPr>
                <w:b w:val="0"/>
                <w:i w:val="0"/>
                <w:sz w:val="20"/>
              </w:rPr>
              <w:t>Main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  <w:tr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tMap_1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tFileOutputDelimited_1</w:t>
            </w:r>
          </w:p>
        </w:tc>
        <w:tc>
          <w:tcPr>
            <w:tcW w:type="dxa" w:w="2493"/>
            <w:shd w:val="clear" w:color="auto" w:fill="F1F5F9"/>
          </w:tcPr>
          <w:p>
            <w:r/>
            <w:r>
              <w:rPr>
                <w:b w:val="0"/>
                <w:i w:val="0"/>
                <w:sz w:val="20"/>
              </w:rPr>
              <w:t>Main</w:t>
            </w:r>
          </w:p>
        </w:tc>
        <w:tc>
          <w:tcPr>
            <w:tcW w:type="dxa" w:w="2493"/>
          </w:tcPr>
          <w:p>
            <w:r/>
            <w:r>
              <w:rPr>
                <w:color w:val="16A34A"/>
              </w:rPr>
              <w:t xml:space="preserve">● </w:t>
            </w:r>
            <w:r>
              <w:t>Flux principal</w:t>
            </w:r>
          </w:p>
        </w:tc>
      </w:tr>
    </w:tbl>
    <w:p>
      <w:pPr>
        <w:pStyle w:val="Heading2"/>
      </w:pPr>
      <w:r>
        <w:rPr>
          <w:color w:val="1B1F24"/>
        </w:rPr>
        <w:t>Notes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EF9C3"/>
            <w:tcBorders>
              <w:top w:val="single" w:sz="6" w:color="CA8A04"/>
              <w:left w:val="single" w:sz="6" w:color="CA8A04"/>
              <w:bottom w:val="single" w:sz="6" w:color="CA8A04"/>
              <w:right w:val="single" w:sz="6" w:color="CA8A04"/>
            </w:tcBorders>
          </w:tcPr>
          <w:p>
            <w:r/>
            <w:r>
              <w:rPr>
                <w:b w:val="0"/>
                <w:i w:val="0"/>
                <w:sz w:val="20"/>
              </w:rPr>
              <w:t>Vérifier le filtre de qualification avant chaque campagne pour éviter</w:t>
              <w:br/>
              <w:t>d'exporter des doublons ou des contacts désabonnés.</w:t>
              <w:br/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Documentation générée automatiquement — talend-doc-gen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B1F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