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DWH_Load_Clients</w:t>
      </w:r>
    </w:p>
    <w:p>
      <w:r>
        <w:rPr>
          <w:i/>
          <w:color w:val="6B7280"/>
          <w:sz w:val="19"/>
        </w:rPr>
        <w:t>Source du parsing : item · Version 0.1</w:t>
      </w:r>
    </w:p>
    <w:p>
      <w:r>
        <w:rPr>
          <w:sz w:val="22"/>
        </w:rPr>
        <w:t>Synchronise quotidiennement les clients du CRM vers l'entrepôt de données (DWH).</w:t>
      </w:r>
    </w:p>
    <w:p>
      <w:pPr>
        <w:pStyle w:val="Heading2"/>
      </w:pPr>
      <w:r>
        <w:rPr>
          <w:color w:val="1B1F24"/>
        </w:rPr>
        <w:t>Fiche d'identité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Propriétaire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corentin.poirier</w:t>
            </w:r>
          </w:p>
        </w:tc>
      </w:tr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Planification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Source du parsing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item</w:t>
            </w:r>
          </w:p>
        </w:tc>
      </w:tr>
    </w:tbl>
    <w:p>
      <w:pPr>
        <w:pStyle w:val="Heading2"/>
      </w:pPr>
      <w:r>
        <w:rPr>
          <w:color w:val="1B1F24"/>
        </w:rPr>
        <w:t>Objectif métier</w:t>
      </w:r>
    </w:p>
    <w:p>
      <w:r>
        <w:t>Alimenter le référentiel clients pour le reporting BI.</w:t>
      </w:r>
    </w:p>
    <w:p>
      <w:pPr>
        <w:pStyle w:val="Heading2"/>
      </w:pPr>
      <w:r>
        <w:rPr>
          <w:color w:val="1B1F24"/>
        </w:rPr>
        <w:t>Schéma du flux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0000" cy="24633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wh-load-clients.tmp-di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4633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6B7280"/>
          <w:sz w:val="18"/>
        </w:rPr>
        <w:t>Diagramme généré automatiquement à partir du flux Talend.</w:t>
      </w:r>
    </w:p>
    <w:p>
      <w:pPr>
        <w:pStyle w:val="Heading2"/>
      </w:pPr>
      <w:r>
        <w:rPr>
          <w:color w:val="1B1F24"/>
        </w:rPr>
        <w:t>Composants</w:t>
      </w:r>
    </w:p>
    <w:p>
      <w:r>
        <w:rPr>
          <w:color w:val="2563EB"/>
          <w:sz w:val="18"/>
        </w:rPr>
        <w:t xml:space="preserve">■ </w:t>
      </w:r>
      <w:r>
        <w:rPr>
          <w:color w:val="6B7280"/>
          <w:sz w:val="18"/>
        </w:rPr>
        <w:t>Source</w:t>
      </w:r>
      <w:r>
        <w:t xml:space="preserve">    </w:t>
      </w:r>
      <w:r>
        <w:rPr>
          <w:color w:val="16A34A"/>
          <w:sz w:val="18"/>
        </w:rPr>
        <w:t xml:space="preserve">■ </w:t>
      </w:r>
      <w:r>
        <w:rPr>
          <w:color w:val="6B7280"/>
          <w:sz w:val="18"/>
        </w:rPr>
        <w:t>Cible</w:t>
      </w:r>
      <w:r>
        <w:t xml:space="preserve">    </w:t>
      </w:r>
      <w:r>
        <w:rPr>
          <w:color w:val="D97706"/>
          <w:sz w:val="18"/>
        </w:rPr>
        <w:t xml:space="preserve">■ </w:t>
      </w:r>
      <w:r>
        <w:rPr>
          <w:color w:val="6B7280"/>
          <w:sz w:val="18"/>
        </w:rPr>
        <w:t>Transformation</w:t>
      </w:r>
      <w:r>
        <w:t xml:space="preserve">    </w:t>
      </w:r>
      <w:r>
        <w:rPr>
          <w:color w:val="64748B"/>
          <w:sz w:val="18"/>
        </w:rPr>
        <w:t xml:space="preserve">■ </w:t>
      </w:r>
      <w:r>
        <w:rPr>
          <w:color w:val="6B7280"/>
          <w:sz w:val="18"/>
        </w:rPr>
        <w:t>Autre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Nom</w:t>
            </w:r>
          </w:p>
        </w:tc>
        <w:tc>
          <w:tcPr>
            <w:tcW w:type="dxa" w:w="3324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324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tFileInputDelimited_1</w:t>
            </w:r>
          </w:p>
        </w:tc>
        <w:tc>
          <w:tcPr>
            <w:tcW w:type="dxa" w:w="3324"/>
            <w:shd w:val="clear" w:color="auto" w:fill="DBEAFE"/>
          </w:tcPr>
          <w:p>
            <w:r/>
            <w:r>
              <w:rPr>
                <w:b w:val="0"/>
                <w:i w:val="0"/>
                <w:sz w:val="20"/>
              </w:rPr>
              <w:t>tFileInputDelimited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Lit le fichier CSV des clients exporté par le CRM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tMap_1</w:t>
            </w:r>
          </w:p>
        </w:tc>
        <w:tc>
          <w:tcPr>
            <w:tcW w:type="dxa" w:w="3324"/>
            <w:shd w:val="clear" w:color="auto" w:fill="FEF3C7"/>
          </w:tcPr>
          <w:p>
            <w:r/>
            <w:r>
              <w:rPr>
                <w:b w:val="0"/>
                <w:i w:val="0"/>
                <w:sz w:val="20"/>
              </w:rPr>
              <w:t>tMap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Nettoyage et mapping des colonnes clients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tDBOutput_1</w:t>
            </w:r>
          </w:p>
        </w:tc>
        <w:tc>
          <w:tcPr>
            <w:tcW w:type="dxa" w:w="3324"/>
            <w:shd w:val="clear" w:color="auto" w:fill="DCFCE7"/>
          </w:tcPr>
          <w:p>
            <w:r/>
            <w:r>
              <w:rPr>
                <w:b w:val="0"/>
                <w:i w:val="0"/>
                <w:sz w:val="20"/>
              </w:rPr>
              <w:t>tDBOutput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Insertion dans la table clients de l'entrepôt de données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tLogRow_1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tLogRow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</w:tbl>
    <w:p>
      <w:pPr>
        <w:pStyle w:val="Heading2"/>
      </w:pPr>
      <w:r>
        <w:rPr>
          <w:color w:val="1B1F24"/>
        </w:rPr>
        <w:t>Connexions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De</w:t>
            </w:r>
          </w:p>
        </w:tc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Vers</w:t>
            </w:r>
          </w:p>
        </w:tc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Nature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tFileInputDelimited_1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tMap_1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row1</w:t>
            </w:r>
          </w:p>
        </w:tc>
        <w:tc>
          <w:tcPr>
            <w:tcW w:type="dxa" w:w="2493"/>
          </w:tcPr>
          <w:p>
            <w:r/>
            <w:r>
              <w:rPr>
                <w:color w:val="16A34A"/>
              </w:rPr>
              <w:t xml:space="preserve">● </w:t>
            </w:r>
            <w:r>
              <w:t>Flux principal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tMap_1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tDBOutput_1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row2</w:t>
            </w:r>
          </w:p>
        </w:tc>
        <w:tc>
          <w:tcPr>
            <w:tcW w:type="dxa" w:w="2493"/>
          </w:tcPr>
          <w:p>
            <w:r/>
            <w:r>
              <w:rPr>
                <w:color w:val="16A34A"/>
              </w:rPr>
              <w:t xml:space="preserve">● </w:t>
            </w:r>
            <w:r>
              <w:t>Flux principal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tMap_1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tLogRow_1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rejet</w:t>
            </w:r>
          </w:p>
        </w:tc>
        <w:tc>
          <w:tcPr>
            <w:tcW w:type="dxa" w:w="2493"/>
          </w:tcPr>
          <w:p>
            <w:r/>
            <w:r>
              <w:rPr>
                <w:color w:val="DC2626"/>
              </w:rPr>
              <w:t xml:space="preserve">● </w:t>
            </w:r>
            <w:r>
              <w:t>Rejet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Documentation générée automatiquement — talend-doc-gen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F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