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reflex_file_movex_sftp_kanban_p04</w:t>
      </w:r>
    </w:p>
    <w:p>
      <w:r>
        <w:rPr>
          <w:i/>
          <w:color w:val="6B7280"/>
          <w:sz w:val="19"/>
        </w:rPr>
        <w:t>Source du parsing : item · Version 0.1</w:t>
      </w:r>
    </w:p>
    <w:p>
      <w:pPr>
        <w:pStyle w:val="Heading2"/>
      </w:pPr>
      <w:r>
        <w:rPr>
          <w:color w:val="1B1F24"/>
        </w:rPr>
        <w:t>Fiche d'identité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Propriétaire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Planification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Source du parsing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item</w:t>
            </w:r>
          </w:p>
        </w:tc>
      </w:tr>
    </w:tbl>
    <w:p>
      <w:pPr>
        <w:pStyle w:val="Heading2"/>
      </w:pPr>
      <w:r>
        <w:rPr>
          <w:color w:val="1B1F24"/>
        </w:rPr>
        <w:t>Schéma du flux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0000" cy="38739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lex-file-movex-sftp-kanban-p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3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6B7280"/>
          <w:sz w:val="18"/>
        </w:rPr>
        <w:t>Capture d'écran du canevas Talend.</w:t>
      </w:r>
    </w:p>
    <w:p>
      <w:pPr>
        <w:pStyle w:val="Heading2"/>
      </w:pPr>
      <w:r>
        <w:rPr>
          <w:color w:val="1B1F24"/>
        </w:rPr>
        <w:t>Composants</w:t>
      </w:r>
    </w:p>
    <w:p>
      <w:r>
        <w:rPr>
          <w:color w:val="7C3AED"/>
          <w:sz w:val="18"/>
        </w:rPr>
        <w:t xml:space="preserve">■ </w:t>
      </w:r>
      <w:r>
        <w:rPr>
          <w:color w:val="6B7280"/>
          <w:sz w:val="18"/>
        </w:rPr>
        <w:t>Orchestration</w:t>
      </w:r>
      <w:r>
        <w:t xml:space="preserve">    </w:t>
      </w:r>
      <w:r>
        <w:rPr>
          <w:color w:val="2563EB"/>
          <w:sz w:val="18"/>
        </w:rPr>
        <w:t xml:space="preserve">■ </w:t>
      </w:r>
      <w:r>
        <w:rPr>
          <w:color w:val="6B7280"/>
          <w:sz w:val="18"/>
        </w:rPr>
        <w:t>Source</w:t>
      </w:r>
      <w:r>
        <w:t xml:space="preserve">    </w:t>
      </w:r>
      <w:r>
        <w:rPr>
          <w:color w:val="16A34A"/>
          <w:sz w:val="18"/>
        </w:rPr>
        <w:t xml:space="preserve">■ </w:t>
      </w:r>
      <w:r>
        <w:rPr>
          <w:color w:val="6B7280"/>
          <w:sz w:val="18"/>
        </w:rPr>
        <w:t>Cible</w:t>
      </w:r>
      <w:r>
        <w:t xml:space="preserve">    </w:t>
      </w:r>
      <w:r>
        <w:rPr>
          <w:color w:val="D97706"/>
          <w:sz w:val="18"/>
        </w:rPr>
        <w:t xml:space="preserve">■ </w:t>
      </w:r>
      <w:r>
        <w:rPr>
          <w:color w:val="6B7280"/>
          <w:sz w:val="18"/>
        </w:rPr>
        <w:t>Transformation</w:t>
      </w:r>
      <w:r>
        <w:t xml:space="preserve">    </w:t>
      </w:r>
      <w:r>
        <w:rPr>
          <w:color w:val="64748B"/>
          <w:sz w:val="18"/>
        </w:rPr>
        <w:t xml:space="preserve">■ </w:t>
      </w:r>
      <w:r>
        <w:rPr>
          <w:color w:val="6B7280"/>
          <w:sz w:val="18"/>
        </w:rPr>
        <w:t>Autre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Nom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tPrejob_1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tPrejob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repertoires_traitement_2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ref_global:repertoires_traitement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tSetGlobalVar_1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tSetGlobalVar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tFTPConnection_1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tFTPConnection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tJava_3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tJava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tFTPClose_1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tFTPClose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tFTPPut_1</w:t>
            </w:r>
          </w:p>
        </w:tc>
        <w:tc>
          <w:tcPr>
            <w:tcW w:type="dxa" w:w="3324"/>
            <w:shd w:val="clear" w:color="auto" w:fill="DCFCE7"/>
          </w:tcPr>
          <w:p>
            <w:r/>
            <w:r>
              <w:rPr>
                <w:b w:val="0"/>
                <w:i w:val="0"/>
                <w:sz w:val="20"/>
              </w:rPr>
              <w:t>tFTPPut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tJava_4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tJava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tFileList_2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tFileList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tRunJob_1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tRunJob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tRunJob_2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tRunJob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tFileList_1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tFileList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tFileInputJSON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tLogRow_1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tLogRow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tFileDelete_2</w:t>
            </w:r>
          </w:p>
        </w:tc>
        <w:tc>
          <w:tcPr>
            <w:tcW w:type="dxa" w:w="3324"/>
            <w:shd w:val="clear" w:color="auto" w:fill="DCFCE7"/>
          </w:tcPr>
          <w:p>
            <w:r/>
            <w:r>
              <w:rPr>
                <w:b w:val="0"/>
                <w:i w:val="0"/>
                <w:sz w:val="20"/>
              </w:rPr>
              <w:t>tFileDelete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tRunJob_4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tRunJob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tRunJob_5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tRunJob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tFilterColumns_1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tFilterColumns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tMap_3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tMap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tFileOutputDelimited_1</w:t>
            </w:r>
          </w:p>
        </w:tc>
        <w:tc>
          <w:tcPr>
            <w:tcW w:type="dxa" w:w="3324"/>
            <w:shd w:val="clear" w:color="auto" w:fill="DCFCE7"/>
          </w:tcPr>
          <w:p>
            <w:r/>
            <w:r>
              <w:rPr>
                <w:b w:val="0"/>
                <w:i w:val="0"/>
                <w:sz w:val="20"/>
              </w:rPr>
              <w:t>tFileOutputDelimited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tJava_2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tJava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tDBConnection_1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tMysqlConnection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tDBCommit_1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tMysqlCommit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tFixedFlowInput_1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tFixedFlowInput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file_monitor_1</w:t>
            </w:r>
          </w:p>
        </w:tc>
        <w:tc>
          <w:tcPr>
            <w:tcW w:type="dxa" w:w="3324"/>
            <w:shd w:val="clear" w:color="auto" w:fill="EDE9FE"/>
          </w:tcPr>
          <w:p>
            <w:r/>
            <w:r>
              <w:rPr>
                <w:b w:val="0"/>
                <w:i w:val="0"/>
                <w:sz w:val="20"/>
              </w:rPr>
              <w:t>ref_global:file_monitor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tJavaRow_1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tJavaRow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</w:tbl>
    <w:p>
      <w:pPr>
        <w:pStyle w:val="Heading2"/>
      </w:pPr>
      <w:r>
        <w:rPr>
          <w:color w:val="1B1F24"/>
        </w:rPr>
        <w:t>Connexions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Vers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Nature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tPrejob_1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repertoires_traitement_2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OnComponentOk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repertoires_traitement_2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tSetGlobalVar_1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OnComponentOk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tFTPConnection_1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tFTPClose_1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OnSubjobOk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tFTPConnection_1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tFTPPut_1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OnComponentOk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tJava_3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tJava_4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OnSubjobOk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tJava_3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tFTPConnection_1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tFileOutputDelimited_1_NB_LINE_gt_0_depose_sftp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tFTPPut_1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tDBConnection_1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OnComponentOk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tJava_4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tFileList_2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tFileOutputDelimited_1_NB_LINE_gt_0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tFileList_2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tRunJob_1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Iterate</w:t>
            </w:r>
          </w:p>
        </w:tc>
        <w:tc>
          <w:tcPr>
            <w:tcW w:type="dxa" w:w="2493"/>
          </w:tcPr>
          <w:p>
            <w:r/>
            <w:r>
              <w:rPr>
                <w:color w:val="2563EB"/>
              </w:rPr>
              <w:t xml:space="preserve">● </w:t>
            </w:r>
            <w:r>
              <w:t>Itération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tFileList_1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Iterate</w:t>
            </w:r>
          </w:p>
        </w:tc>
        <w:tc>
          <w:tcPr>
            <w:tcW w:type="dxa" w:w="2493"/>
          </w:tcPr>
          <w:p>
            <w:r/>
            <w:r>
              <w:rPr>
                <w:color w:val="2563EB"/>
              </w:rPr>
              <w:t xml:space="preserve">● </w:t>
            </w:r>
            <w:r>
              <w:t>Itération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tFileList_1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tJava_3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OnSubjobOk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tLogRow_1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row1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tRunJob_5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originator_reference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tFileDelete_2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no_originator_reference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tFileInputJSON_2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tRunJob_4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If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tRunJob_5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tFilterColumns_1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int5b_init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tRunJob_5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tJava_2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OnSubjobOk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tFilterColumns_1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tMap_3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int5b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tMap_3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tFileOutputDelimited_1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p04_out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tRunJob_2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tFileInputJSON_1_NB_LINE_gt_0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tDBConnection_1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tFixedFlowInput_1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OnComponentOk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tDBConnection_1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tDBCommit_1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OnSubjobOk</w:t>
            </w:r>
          </w:p>
        </w:tc>
        <w:tc>
          <w:tcPr>
            <w:tcW w:type="dxa" w:w="2493"/>
          </w:tcPr>
          <w:p>
            <w:r/>
            <w:r>
              <w:rPr>
                <w:color w:val="64748B"/>
              </w:rPr>
              <w:t xml:space="preserve">● </w:t>
            </w:r>
            <w:r>
              <w:t>Déclencheur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tFixedFlowInput_1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file_monitor_1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monitor_fichier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file_monitor_1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tJavaRow_1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out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</w:tbl>
    <w:p>
      <w:pPr>
        <w:pStyle w:val="Heading2"/>
      </w:pPr>
      <w:r>
        <w:rPr>
          <w:color w:val="1B1F24"/>
        </w:rPr>
        <w:t>Paramètres de contexte</w:t>
      </w:r>
    </w:p>
    <w:p>
      <w:r>
        <w:rPr>
          <w:i/>
          <w:color w:val="6B7280"/>
          <w:sz w:val="19"/>
        </w:rPr>
        <w:t>Les valeurs (hôtes, identifiants, chemins...) sont masquées par défaut car potentiellement sensibles ; seuls les noms de paramètres sont listés.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Nom</w:t>
            </w:r>
          </w:p>
        </w:tc>
        <w:tc>
          <w:tcPr>
            <w:tcW w:type="dxa" w:w="4986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repertoire_depose_sftp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uncreflex_folderpath_out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resource_flow_temp_folder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connection_uncreflex_host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connection_uncreflex_share_directory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depose_sftp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flow_name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flow_workspace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flow_environment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connection_sftp_auth_method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connection_sftp_encoding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connection_sftp_host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connection_sftp_passphrase_key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connection_sftp_password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connection_sftp_port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connection_sftp_private_key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connection_sftp_username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connection_uncetl_host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connection_uncetl_share_directory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uncetl_filename_in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uncetl_folderpath_archives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uncetl_folderpath_in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uncetl_folderpath_out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connection_mssqlreflex_AdditionalParams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connection_mssqlreflex_Database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connection_mssqlreflex_Login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connection_mssqlreflex_Password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connection_mssqlreflex_Port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connection_mssqlreflex_Schema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connection_mssqlreflex_Server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connection_mssqlreflex_SharedConnection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connection_mysqlappglobal_Login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connection_mysqlappglobal_Server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connection_mysqlappglobal_Port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connection_mysqlappglobal_AdditionalParams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connection_mysqlappglobal_Password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connection_mysqlappglobal_Database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  <w:tr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connection_mysqlappglobal_SharedConnection</w:t>
            </w:r>
          </w:p>
        </w:tc>
        <w:tc>
          <w:tcPr>
            <w:tcW w:type="dxa" w:w="4986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•••• (masqué)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Documentation générée automatiquement — talend-doc-gen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