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Aptos" w:hAnsi="Aptos" w:eastAsia="Microsoft YaHei"/>
          <w:b/>
          <w:color w:val="18252D"/>
          <w:sz w:val="48"/>
        </w:rPr>
        <w:t>奥森商业改造预测与调整建议</w:t>
      </w:r>
    </w:p>
    <w:p>
      <w:pPr>
        <w:spacing w:before="0" w:after="240" w:line="252" w:lineRule="auto"/>
        <w:jc w:val="center"/>
      </w:pPr>
      <w:r>
        <w:rPr>
          <w:rFonts w:ascii="Aptos" w:hAnsi="Aptos" w:eastAsia="Microsoft YaHei"/>
          <w:b w:val="0"/>
          <w:color w:val="5E6B73"/>
          <w:sz w:val="21"/>
        </w:rPr>
        <w:t>基于区域客流、消费偏好、策划方案、图纸信息与周边供给分析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AF2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/>
                <w:color w:val="173E63"/>
                <w:sz w:val="18"/>
              </w:rPr>
              <w:t>报告定位</w:t>
              <w:br/>
              <w:t>决策沟通版</w:t>
            </w:r>
          </w:p>
        </w:tc>
        <w:tc>
          <w:tcPr>
            <w:tcW w:type="dxa" w:w="3024"/>
            <w:shd w:fill="EAF2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8"/>
              </w:rPr>
              <w:t>分析口径</w:t>
              <w:br/>
              <w:t>现有资料预测</w:t>
            </w:r>
          </w:p>
        </w:tc>
        <w:tc>
          <w:tcPr>
            <w:tcW w:type="dxa" w:w="3024"/>
            <w:shd w:fill="EAF2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8"/>
              </w:rPr>
              <w:t>报告日期</w:t>
              <w:br/>
              <w:t>2026-06-07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shd w:fill="EAF5F0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60" w:line="264" w:lineRule="auto"/>
            </w:pPr>
            <w:r>
              <w:rPr>
                <w:rFonts w:ascii="Aptos" w:hAnsi="Aptos" w:eastAsia="Microsoft YaHei"/>
                <w:b/>
                <w:color w:val="18252D"/>
                <w:sz w:val="21"/>
              </w:rPr>
              <w:t>本轮判断</w:t>
            </w:r>
          </w:p>
          <w:p>
            <w:pPr>
              <w:spacing w:before="0" w:after="40" w:line="276" w:lineRule="auto"/>
            </w:pPr>
            <w:r>
              <w:rPr>
                <w:rFonts w:ascii="Aptos" w:hAnsi="Aptos" w:eastAsia="Microsoft YaHei"/>
                <w:b w:val="0"/>
                <w:color w:val="18252D"/>
                <w:sz w:val="20"/>
              </w:rPr>
              <w:t>当前材料已经足以支持“先做轻消费与预约型试点”的方向：南门露天剧场、桃花源白房子、12# 西分区管理中心先推进；地下空间、医疗化康养和夜间演艺不进入首批重投入。</w:t>
            </w:r>
          </w:p>
        </w:tc>
      </w:tr>
    </w:tbl>
    <w:p>
      <w:pPr>
        <w:spacing w:before="300" w:after="140" w:line="252" w:lineRule="auto"/>
      </w:pPr>
      <w:r>
        <w:rPr>
          <w:rFonts w:ascii="Aptos" w:hAnsi="Aptos" w:eastAsia="Microsoft YaHei"/>
          <w:b/>
          <w:color w:val="173E63"/>
          <w:sz w:val="32"/>
        </w:rPr>
        <w:t>1. 执行摘要</w:t>
      </w:r>
    </w:p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18252D"/>
          <w:sz w:val="21"/>
        </w:rPr>
        <w:t>本报告基于现有资料做预测、调整和落地排序。奥森当前最大机会是把既有高峰客流转化为可停留、可购买、可预约的轻消费场景；最大的误区是把大空间、高客流和宏观消费能力直接翻译成重资产项目。</w:t>
      </w:r>
    </w:p>
    <w:p>
      <w:pPr>
        <w:pStyle w:val="ListBullet"/>
        <w:spacing w:before="0" w:after="70" w:line="269" w:lineRule="auto"/>
      </w:pPr>
      <w:r>
        <w:rPr>
          <w:rFonts w:ascii="Aptos" w:hAnsi="Aptos" w:eastAsia="Microsoft YaHei"/>
          <w:b w:val="0"/>
          <w:color w:val="18252D"/>
          <w:sz w:val="20"/>
        </w:rPr>
        <w:t>首批方向：咖啡/冷饮、烘焙轻餐、草坪活动、亲子小活动、国潮轻餐与文创快闪。</w:t>
      </w:r>
    </w:p>
    <w:p>
      <w:pPr>
        <w:pStyle w:val="ListBullet"/>
        <w:spacing w:before="0" w:after="70" w:line="269" w:lineRule="auto"/>
      </w:pPr>
      <w:r>
        <w:rPr>
          <w:rFonts w:ascii="Aptos" w:hAnsi="Aptos" w:eastAsia="Microsoft YaHei"/>
          <w:b w:val="0"/>
          <w:color w:val="18252D"/>
          <w:sz w:val="20"/>
        </w:rPr>
        <w:t>首批节点：南门露天剧场、桃花源白房子、12# 西分区管理中心。</w:t>
      </w:r>
    </w:p>
    <w:p>
      <w:pPr>
        <w:pStyle w:val="ListBullet"/>
        <w:spacing w:before="0" w:after="70" w:line="269" w:lineRule="auto"/>
      </w:pPr>
      <w:r>
        <w:rPr>
          <w:rFonts w:ascii="Aptos" w:hAnsi="Aptos" w:eastAsia="Microsoft YaHei"/>
          <w:b w:val="0"/>
          <w:color w:val="18252D"/>
          <w:sz w:val="20"/>
        </w:rPr>
        <w:t>审慎推进：地下预埋空间只做分区样板；廉洁馆与 2A03 先做非医疗化文化康养。</w:t>
      </w:r>
    </w:p>
    <w:p>
      <w:pPr>
        <w:pStyle w:val="ListBullet"/>
        <w:spacing w:before="0" w:after="70" w:line="269" w:lineRule="auto"/>
      </w:pPr>
      <w:r>
        <w:rPr>
          <w:rFonts w:ascii="Aptos" w:hAnsi="Aptos" w:eastAsia="Microsoft YaHei"/>
          <w:b w:val="0"/>
          <w:color w:val="18252D"/>
          <w:sz w:val="20"/>
        </w:rPr>
        <w:t>表达方式：不用裸分数替代判断；用“为什么成立、怎样先做、什么不要先做”服务业务决策。</w:t>
      </w:r>
    </w:p>
    <w:p>
      <w:r>
        <w:br w:type="page"/>
      </w:r>
    </w:p>
    <w:p>
      <w:pPr>
        <w:spacing w:before="300" w:after="140" w:line="252" w:lineRule="auto"/>
      </w:pPr>
      <w:r>
        <w:rPr>
          <w:rFonts w:ascii="Aptos" w:hAnsi="Aptos" w:eastAsia="Microsoft YaHei"/>
          <w:b/>
          <w:color w:val="173E63"/>
          <w:sz w:val="32"/>
        </w:rPr>
        <w:t>2. 已有材料支撑的判断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816"/>
        <w:gridCol w:w="3744"/>
      </w:tblGrid>
      <w:tr>
        <w:tc>
          <w:tcPr>
            <w:tcW w:type="dxa" w:w="1512"/>
            <w:shd w:fill="EAF2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/>
                <w:color w:val="173E63"/>
                <w:sz w:val="17"/>
              </w:rPr>
              <w:t>材料层</w:t>
            </w:r>
          </w:p>
        </w:tc>
        <w:tc>
          <w:tcPr>
            <w:tcW w:type="dxa" w:w="3816"/>
            <w:shd w:fill="EAF2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/>
                <w:color w:val="173E63"/>
                <w:sz w:val="17"/>
              </w:rPr>
              <w:t>关键线索</w:t>
            </w:r>
          </w:p>
        </w:tc>
        <w:tc>
          <w:tcPr>
            <w:tcW w:type="dxa" w:w="3744"/>
            <w:shd w:fill="EAF2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/>
                <w:color w:val="173E63"/>
                <w:sz w:val="17"/>
              </w:rPr>
              <w:t>对方案的约束</w:t>
            </w:r>
          </w:p>
        </w:tc>
      </w:tr>
      <w:tr>
        <w:tc>
          <w:tcPr>
            <w:tcW w:type="dxa" w:w="151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客流</w:t>
            </w:r>
          </w:p>
        </w:tc>
        <w:tc>
          <w:tcPr>
            <w:tcW w:type="dxa" w:w="381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奥森样例-全部人口日峰值到访人数：109530人次/日；奥森样例-全部人口时均峰值客流：4847人次/小时</w:t>
            </w:r>
          </w:p>
        </w:tc>
        <w:tc>
          <w:tcPr>
            <w:tcW w:type="dxa" w:w="374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高峰流量足够，但报告只把它作为承接机会，不直接推导收益。</w:t>
            </w:r>
          </w:p>
        </w:tc>
      </w:tr>
      <w:tr>
        <w:tc>
          <w:tcPr>
            <w:tcW w:type="dxa" w:w="151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偏好</w:t>
            </w:r>
          </w:p>
        </w:tc>
        <w:tc>
          <w:tcPr>
            <w:tcW w:type="dxa" w:w="381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奥森样例-娱乐休闲咖啡厅人群覆盖度：13.38%；奥森样例-娱乐休闲咖啡厅TGI：286TGI指数；奥森样例-美食冷饮店人群覆盖度：14.69%；奥森样例-美食冷饮店TGI：332TGI指数；奥森样例-运动健身瑜伽人群覆盖度：3.49%；奥森样例-运动健身瑜伽TGI：382TGI指数</w:t>
            </w:r>
          </w:p>
        </w:tc>
        <w:tc>
          <w:tcPr>
            <w:tcW w:type="dxa" w:w="374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咖啡、冷饮、运动/康养可进入候选，但必须按节点、时段和天气组织。</w:t>
            </w:r>
          </w:p>
        </w:tc>
      </w:tr>
      <w:tr>
        <w:tc>
          <w:tcPr>
            <w:tcW w:type="dxa" w:w="151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消费</w:t>
            </w:r>
          </w:p>
        </w:tc>
        <w:tc>
          <w:tcPr>
            <w:tcW w:type="dxa" w:w="381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奥森样例-区域内流动人口美食类热门到访POI第一名人均消费：92元/人；奥森样例-区域内流动人口美食类热门到访POI第二名人均消费：231元/人；奥森样例-区域内流动人口美食类热门到访POI第三名人均消费：129元/人</w:t>
            </w:r>
          </w:p>
        </w:tc>
        <w:tc>
          <w:tcPr>
            <w:tcW w:type="dxa" w:w="374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价格带宜分为日常轻消费、活动消费、预约课程；不宜只押高客单。</w:t>
            </w:r>
          </w:p>
        </w:tc>
      </w:tr>
      <w:tr>
        <w:tc>
          <w:tcPr>
            <w:tcW w:type="dxa" w:w="151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供给</w:t>
            </w:r>
          </w:p>
        </w:tc>
        <w:tc>
          <w:tcPr>
            <w:tcW w:type="dxa" w:w="381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yoga_pilates 31、sports_supply 25、convenience_retail 25、fast_food 25、restaurant 24、night_dining_bar 24、tea_drink 19</w:t>
            </w:r>
          </w:p>
        </w:tc>
        <w:tc>
          <w:tcPr>
            <w:tcW w:type="dxa" w:w="374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周边供给活跃，园内应做差异化停留和场景组合，而不是复制门店。</w:t>
            </w:r>
          </w:p>
        </w:tc>
      </w:tr>
      <w:tr>
        <w:tc>
          <w:tcPr>
            <w:tcW w:type="dxa" w:w="151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行为池</w:t>
            </w:r>
          </w:p>
        </w:tc>
        <w:tc>
          <w:tcPr>
            <w:tcW w:type="dxa" w:w="381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1200 条场景，8 类人群，6 个时段，5 类天气</w:t>
            </w:r>
          </w:p>
        </w:tc>
        <w:tc>
          <w:tcPr>
            <w:tcW w:type="dxa" w:w="374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建议要覆盖人群、预算、时段、天气和动作链，不能只写“亲子/白领/游客”。</w:t>
            </w:r>
          </w:p>
        </w:tc>
      </w:tr>
    </w:tbl>
    <w:p>
      <w:pPr>
        <w:spacing w:before="300" w:after="140" w:line="252" w:lineRule="auto"/>
      </w:pPr>
      <w:r>
        <w:rPr>
          <w:rFonts w:ascii="Aptos" w:hAnsi="Aptos" w:eastAsia="Microsoft YaHei"/>
          <w:b/>
          <w:color w:val="173E63"/>
          <w:sz w:val="32"/>
        </w:rPr>
        <w:t>3. 推荐商业组合</w:t>
      </w:r>
    </w:p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18252D"/>
          <w:sz w:val="21"/>
        </w:rPr>
        <w:t>六个节点不应各自孤立招商。更稳妥的做法是把它们合成三组商业动作：先让低改造、强场景、能试运营的节点跑起来，再用真实反馈决定是否扩大。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088"/>
        <w:gridCol w:w="2952"/>
        <w:gridCol w:w="2520"/>
      </w:tblGrid>
      <w:tr>
        <w:tc>
          <w:tcPr>
            <w:tcW w:type="dxa" w:w="1944"/>
            <w:shd w:fill="EAF2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/>
                <w:color w:val="173E63"/>
                <w:sz w:val="17"/>
              </w:rPr>
              <w:t>组合</w:t>
            </w:r>
          </w:p>
        </w:tc>
        <w:tc>
          <w:tcPr>
            <w:tcW w:type="dxa" w:w="2088"/>
            <w:shd w:fill="EAF2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/>
                <w:color w:val="173E63"/>
                <w:sz w:val="17"/>
              </w:rPr>
              <w:t>包含节点</w:t>
            </w:r>
          </w:p>
        </w:tc>
        <w:tc>
          <w:tcPr>
            <w:tcW w:type="dxa" w:w="2952"/>
            <w:shd w:fill="EAF2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/>
                <w:color w:val="173E63"/>
                <w:sz w:val="17"/>
              </w:rPr>
              <w:t>主要客群与动作</w:t>
            </w:r>
          </w:p>
        </w:tc>
        <w:tc>
          <w:tcPr>
            <w:tcW w:type="dxa" w:w="2520"/>
            <w:shd w:fill="EAF2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/>
                <w:color w:val="173E63"/>
                <w:sz w:val="17"/>
              </w:rPr>
              <w:t>先看什么结果</w:t>
            </w:r>
          </w:p>
        </w:tc>
      </w:tr>
      <w:tr>
        <w:tc>
          <w:tcPr>
            <w:tcW w:type="dxa" w:w="194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南门轻消费与活动簇</w:t>
            </w:r>
          </w:p>
        </w:tc>
        <w:tc>
          <w:tcPr>
            <w:tcW w:type="dxa" w:w="20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南门露天剧场、12#、地下空间样板区</w:t>
            </w:r>
          </w:p>
        </w:tc>
        <w:tc>
          <w:tcPr>
            <w:tcW w:type="dxa" w:w="295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亲子家庭、游客、运动人群；咖啡冷饮、烘焙、草坪活动、快闪仓、赛事补给</w:t>
            </w:r>
          </w:p>
        </w:tc>
        <w:tc>
          <w:tcPr>
            <w:tcW w:type="dxa" w:w="252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时段客流、购买转化、排队、停留、天气影响和活动复购</w:t>
            </w:r>
          </w:p>
        </w:tc>
      </w:tr>
      <w:tr>
        <w:tc>
          <w:tcPr>
            <w:tcW w:type="dxa" w:w="194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北园景观打卡簇</w:t>
            </w:r>
          </w:p>
        </w:tc>
        <w:tc>
          <w:tcPr>
            <w:tcW w:type="dxa" w:w="20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桃花源白房子</w:t>
            </w:r>
          </w:p>
        </w:tc>
        <w:tc>
          <w:tcPr>
            <w:tcW w:type="dxa" w:w="295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花海拍照、生日/团建、轻餐下午茶、摄影预约</w:t>
            </w:r>
          </w:p>
        </w:tc>
        <w:tc>
          <w:tcPr>
            <w:tcW w:type="dxa" w:w="252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预约率、包场成交、花季波峰、平日空置率</w:t>
            </w:r>
          </w:p>
        </w:tc>
      </w:tr>
      <w:tr>
        <w:tc>
          <w:tcPr>
            <w:tcW w:type="dxa" w:w="194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室内文化康养簇</w:t>
            </w:r>
          </w:p>
        </w:tc>
        <w:tc>
          <w:tcPr>
            <w:tcW w:type="dxa" w:w="20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廉洁馆、10#2A03</w:t>
            </w:r>
          </w:p>
        </w:tc>
        <w:tc>
          <w:tcPr>
            <w:tcW w:type="dxa" w:w="295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银发、白领、研学和亲子；八段锦、茶吧、书法、健康讲座、文创</w:t>
            </w:r>
          </w:p>
        </w:tc>
        <w:tc>
          <w:tcPr>
            <w:tcW w:type="dxa" w:w="252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到课率、复购、团体活动、资质合作可行性</w:t>
            </w:r>
          </w:p>
        </w:tc>
      </w:tr>
    </w:tbl>
    <w:p>
      <w:pPr>
        <w:spacing w:before="300" w:after="140" w:line="252" w:lineRule="auto"/>
      </w:pPr>
      <w:r>
        <w:rPr>
          <w:rFonts w:ascii="Aptos" w:hAnsi="Aptos" w:eastAsia="Microsoft YaHei"/>
          <w:b/>
          <w:color w:val="173E63"/>
          <w:sz w:val="32"/>
        </w:rPr>
        <w:t>4. 六个节点的预测与调整</w:t>
      </w:r>
    </w:p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5E6B73"/>
          <w:sz w:val="21"/>
        </w:rPr>
        <w:t>以下不是最终排名，而是基于当前资料生成的推进优先级。每个节点都按“原计划理解 -&gt; 预测判断 -&gt; 调整动作 -&gt; 价格/时段 -&gt; 边界”落地，便于后续用真实试运营数据继续修正。</w:t>
      </w:r>
    </w:p>
    <w:p>
      <w:pPr>
        <w:spacing w:before="200" w:after="100" w:line="252" w:lineRule="auto"/>
      </w:pPr>
      <w:r>
        <w:rPr>
          <w:rFonts w:ascii="Aptos" w:hAnsi="Aptos" w:eastAsia="Microsoft YaHei"/>
          <w:b/>
          <w:color w:val="245D7A"/>
          <w:sz w:val="25"/>
        </w:rPr>
        <w:t>4.1 南门露天剧场 | 第一批主推试点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shd w:fill="EAF2F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60" w:line="264" w:lineRule="auto"/>
            </w:pPr>
            <w:r>
              <w:rPr>
                <w:rFonts w:ascii="Aptos" w:hAnsi="Aptos" w:eastAsia="Microsoft YaHei"/>
                <w:b/>
                <w:color w:val="18252D"/>
                <w:sz w:val="21"/>
              </w:rPr>
              <w:t>预测判断</w:t>
            </w:r>
          </w:p>
          <w:p>
            <w:pPr>
              <w:spacing w:before="0" w:after="40" w:line="276" w:lineRule="auto"/>
            </w:pPr>
            <w:r>
              <w:rPr>
                <w:rFonts w:ascii="Aptos" w:hAnsi="Aptos" w:eastAsia="Microsoft YaHei"/>
                <w:b w:val="0"/>
                <w:color w:val="18252D"/>
                <w:sz w:val="20"/>
              </w:rPr>
              <w:t>与现有客流和偏好最匹配。咖啡、冷饮、美食、亲子和草坪停留都能被现有数据解释，适合作为首个样板。</w:t>
            </w:r>
          </w:p>
        </w:tc>
      </w:tr>
    </w:tbl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5E6B73"/>
          <w:sz w:val="20"/>
        </w:rPr>
        <w:t>原计划理解：湖畔阳光烘焙工坊 + 四季草坪生活场，含咖啡烘焙、市集、音乐、亲子工坊。</w:t>
      </w:r>
    </w:p>
    <w:p>
      <w:pPr>
        <w:spacing w:before="0" w:after="120" w:line="281" w:lineRule="auto"/>
      </w:pPr>
      <w:r>
        <w:rPr>
          <w:rFonts w:ascii="Aptos" w:hAnsi="Aptos" w:eastAsia="Microsoft YaHei"/>
          <w:b/>
          <w:color w:val="18252D"/>
          <w:sz w:val="21"/>
        </w:rPr>
        <w:t>调整建议：用“烘焙 + 咖啡/冷饮 + 草坪活动 + 移动补给”组合切入；演出只做低噪声、活动日组件。</w:t>
      </w:r>
    </w:p>
    <w:p>
      <w:pPr>
        <w:pStyle w:val="ListBullet"/>
        <w:spacing w:before="0" w:after="70" w:line="269" w:lineRule="auto"/>
      </w:pPr>
      <w:r>
        <w:rPr>
          <w:rFonts w:ascii="Aptos" w:hAnsi="Aptos" w:eastAsia="Microsoft YaHei"/>
          <w:b w:val="0"/>
          <w:color w:val="18252D"/>
          <w:sz w:val="20"/>
        </w:rPr>
        <w:t>周末与节假日设置咖啡/冷饮移动点、烘焙轻餐和草坪活动包。</w:t>
      </w:r>
    </w:p>
    <w:p>
      <w:pPr>
        <w:pStyle w:val="ListBullet"/>
        <w:spacing w:before="0" w:after="70" w:line="269" w:lineRule="auto"/>
      </w:pPr>
      <w:r>
        <w:rPr>
          <w:rFonts w:ascii="Aptos" w:hAnsi="Aptos" w:eastAsia="Microsoft YaHei"/>
          <w:b w:val="0"/>
          <w:color w:val="18252D"/>
          <w:sz w:val="20"/>
        </w:rPr>
        <w:t>下午、活动前后、亲子停留时段优先排班，高温/雨天切到室内轻活动。</w:t>
      </w:r>
    </w:p>
    <w:p>
      <w:pPr>
        <w:pStyle w:val="ListBullet"/>
        <w:spacing w:before="0" w:after="70" w:line="269" w:lineRule="auto"/>
      </w:pPr>
      <w:r>
        <w:rPr>
          <w:rFonts w:ascii="Aptos" w:hAnsi="Aptos" w:eastAsia="Microsoft YaHei"/>
          <w:b w:val="0"/>
          <w:color w:val="18252D"/>
          <w:sz w:val="20"/>
        </w:rPr>
        <w:t>把座椅、遮阴、排队动线和垃圾回收作为商业动作的一部分，不当成后勤附属。</w:t>
      </w:r>
    </w:p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0B5A46"/>
          <w:sz w:val="21"/>
        </w:rPr>
        <w:t>价格与时段口径：咖啡/冷饮 20-45 元；烘焙轻餐 35-98 元；草坪套餐/亲子活动 68-168 元。</w:t>
      </w:r>
    </w:p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5E6B73"/>
          <w:sz w:val="20"/>
        </w:rPr>
        <w:t>支撑线索：峰值客流足够；咖啡 TGI 286；冷饮 TGI 332；亲子/票务偏好高。</w:t>
      </w:r>
    </w:p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7B5A00"/>
          <w:sz w:val="20"/>
        </w:rPr>
        <w:t>边界：不以高噪声演出、重舞台或夜间餐酒作为首期收入主假设。</w:t>
      </w:r>
    </w:p>
    <w:p>
      <w:pPr>
        <w:spacing w:before="200" w:after="100" w:line="252" w:lineRule="auto"/>
      </w:pPr>
      <w:r>
        <w:rPr>
          <w:rFonts w:ascii="Aptos" w:hAnsi="Aptos" w:eastAsia="Microsoft YaHei"/>
          <w:b/>
          <w:color w:val="245D7A"/>
          <w:sz w:val="25"/>
        </w:rPr>
        <w:t>4.2 桃花源白房子 | 第一批低改造试点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shd w:fill="EAF2F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60" w:line="264" w:lineRule="auto"/>
            </w:pPr>
            <w:r>
              <w:rPr>
                <w:rFonts w:ascii="Aptos" w:hAnsi="Aptos" w:eastAsia="Microsoft YaHei"/>
                <w:b/>
                <w:color w:val="18252D"/>
                <w:sz w:val="21"/>
              </w:rPr>
              <w:t>预测判断</w:t>
            </w:r>
          </w:p>
          <w:p>
            <w:pPr>
              <w:spacing w:before="0" w:after="40" w:line="276" w:lineRule="auto"/>
            </w:pPr>
            <w:r>
              <w:rPr>
                <w:rFonts w:ascii="Aptos" w:hAnsi="Aptos" w:eastAsia="Microsoft YaHei"/>
                <w:b w:val="0"/>
                <w:color w:val="18252D"/>
                <w:sz w:val="20"/>
              </w:rPr>
              <w:t>花海、拍照、轻餐和预约活动逻辑成立，但 155㎡ 空间决定它更适合做“轻量高周转”，不是重厨房。</w:t>
            </w:r>
          </w:p>
        </w:tc>
      </w:tr>
    </w:tbl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5E6B73"/>
          <w:sz w:val="20"/>
        </w:rPr>
        <w:t>原计划理解：活动+轻餐，多功能活动据点，承接婚礼/摄影、亲子/团建、咖啡茶饮和季节下午茶。</w:t>
      </w:r>
    </w:p>
    <w:p>
      <w:pPr>
        <w:spacing w:before="0" w:after="120" w:line="281" w:lineRule="auto"/>
      </w:pPr>
      <w:r>
        <w:rPr>
          <w:rFonts w:ascii="Aptos" w:hAnsi="Aptos" w:eastAsia="Microsoft YaHei"/>
          <w:b/>
          <w:color w:val="18252D"/>
          <w:sz w:val="21"/>
        </w:rPr>
        <w:t>调整建议：保留“白房子 + 花海 + 轻餐”定位，先做可移动外摆、预约活动、咖啡/冷饮和花季小活动。</w:t>
      </w:r>
    </w:p>
    <w:p>
      <w:pPr>
        <w:pStyle w:val="ListBullet"/>
        <w:spacing w:before="0" w:after="70" w:line="269" w:lineRule="auto"/>
      </w:pPr>
      <w:r>
        <w:rPr>
          <w:rFonts w:ascii="Aptos" w:hAnsi="Aptos" w:eastAsia="Microsoft YaHei"/>
          <w:b w:val="0"/>
          <w:color w:val="18252D"/>
          <w:sz w:val="20"/>
        </w:rPr>
        <w:t>花季与周末主推摄影预约、生日小包场和冷餐会。</w:t>
      </w:r>
    </w:p>
    <w:p>
      <w:pPr>
        <w:pStyle w:val="ListBullet"/>
        <w:spacing w:before="0" w:after="70" w:line="269" w:lineRule="auto"/>
      </w:pPr>
      <w:r>
        <w:rPr>
          <w:rFonts w:ascii="Aptos" w:hAnsi="Aptos" w:eastAsia="Microsoft YaHei"/>
          <w:b w:val="0"/>
          <w:color w:val="18252D"/>
          <w:sz w:val="20"/>
        </w:rPr>
        <w:t>平日保留咖啡、茶饮、轻食和后台活动预约，避免空间空置。</w:t>
      </w:r>
    </w:p>
    <w:p>
      <w:pPr>
        <w:pStyle w:val="ListBullet"/>
        <w:spacing w:before="0" w:after="70" w:line="269" w:lineRule="auto"/>
      </w:pPr>
      <w:r>
        <w:rPr>
          <w:rFonts w:ascii="Aptos" w:hAnsi="Aptos" w:eastAsia="Microsoft YaHei"/>
          <w:b w:val="0"/>
          <w:color w:val="18252D"/>
          <w:sz w:val="20"/>
        </w:rPr>
        <w:t>通过套餐与预约制控制客流，不用满堂散客模型压垮现场。</w:t>
      </w:r>
    </w:p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0B5A46"/>
          <w:sz w:val="21"/>
        </w:rPr>
        <w:t>价格与时段口径：日常 20-60 元；预约活动/冷餐会按 80-180 元/人做情景测算。</w:t>
      </w:r>
    </w:p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5E6B73"/>
          <w:sz w:val="20"/>
        </w:rPr>
        <w:t>支撑线索：CAD/PDF 图纸识别到白房子 155㎡；咖啡/冷饮偏好强；亲子与活动型需求可解释。</w:t>
      </w:r>
    </w:p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7B5A00"/>
          <w:sz w:val="20"/>
        </w:rPr>
        <w:t>边界：首期不做重厨房、大体量阳光房和高固定成本装修。</w:t>
      </w:r>
    </w:p>
    <w:p>
      <w:pPr>
        <w:spacing w:before="200" w:after="100" w:line="252" w:lineRule="auto"/>
      </w:pPr>
      <w:r>
        <w:rPr>
          <w:rFonts w:ascii="Aptos" w:hAnsi="Aptos" w:eastAsia="Microsoft YaHei"/>
          <w:b/>
          <w:color w:val="245D7A"/>
          <w:sz w:val="25"/>
        </w:rPr>
        <w:t>4.3 12#西分区管理中心 | 第一批品牌联名试点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shd w:fill="EAF2F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60" w:line="264" w:lineRule="auto"/>
            </w:pPr>
            <w:r>
              <w:rPr>
                <w:rFonts w:ascii="Aptos" w:hAnsi="Aptos" w:eastAsia="Microsoft YaHei"/>
                <w:b/>
                <w:color w:val="18252D"/>
                <w:sz w:val="21"/>
              </w:rPr>
              <w:t>预测判断</w:t>
            </w:r>
          </w:p>
          <w:p>
            <w:pPr>
              <w:spacing w:before="0" w:after="40" w:line="276" w:lineRule="auto"/>
            </w:pPr>
            <w:r>
              <w:rPr>
                <w:rFonts w:ascii="Aptos" w:hAnsi="Aptos" w:eastAsia="Microsoft YaHei"/>
                <w:b w:val="0"/>
                <w:color w:val="18252D"/>
                <w:sz w:val="20"/>
              </w:rPr>
              <w:t>北冰洋/义利式白天品牌联名更稳。Live House 依赖夜间开放、噪声、演出审批和酒水，不适合做首期主假设。</w:t>
            </w:r>
          </w:p>
        </w:tc>
      </w:tr>
    </w:tbl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5E6B73"/>
          <w:sz w:val="20"/>
        </w:rPr>
        <w:t>原计划理解：方案一 Live House；方案二北冰洋/义利国潮轻餐、文创和亲子体验。</w:t>
      </w:r>
    </w:p>
    <w:p>
      <w:pPr>
        <w:spacing w:before="0" w:after="120" w:line="281" w:lineRule="auto"/>
      </w:pPr>
      <w:r>
        <w:rPr>
          <w:rFonts w:ascii="Aptos" w:hAnsi="Aptos" w:eastAsia="Microsoft YaHei"/>
          <w:b/>
          <w:color w:val="18252D"/>
          <w:sz w:val="21"/>
        </w:rPr>
        <w:t>调整建议：主方案改成国潮轻餐 + 文创 + 亲子烘焙体验；Live House 降级为周末小演出、品牌日或节庆组件。</w:t>
      </w:r>
    </w:p>
    <w:p>
      <w:pPr>
        <w:pStyle w:val="ListBullet"/>
        <w:spacing w:before="0" w:after="70" w:line="269" w:lineRule="auto"/>
      </w:pPr>
      <w:r>
        <w:rPr>
          <w:rFonts w:ascii="Aptos" w:hAnsi="Aptos" w:eastAsia="Microsoft YaHei"/>
          <w:b w:val="0"/>
          <w:color w:val="18252D"/>
          <w:sz w:val="20"/>
        </w:rPr>
        <w:t>白天做饮品、面包、文创零售和亲子 DIY，先把稳定客流吃下来。</w:t>
      </w:r>
    </w:p>
    <w:p>
      <w:pPr>
        <w:pStyle w:val="ListBullet"/>
        <w:spacing w:before="0" w:after="70" w:line="269" w:lineRule="auto"/>
      </w:pPr>
      <w:r>
        <w:rPr>
          <w:rFonts w:ascii="Aptos" w:hAnsi="Aptos" w:eastAsia="Microsoft YaHei"/>
          <w:b w:val="0"/>
          <w:color w:val="18252D"/>
          <w:sz w:val="20"/>
        </w:rPr>
        <w:t>节庆日引入品牌日、小型演出或快闪，不把夜间场景常态化。</w:t>
      </w:r>
    </w:p>
    <w:p>
      <w:pPr>
        <w:pStyle w:val="ListBullet"/>
        <w:spacing w:before="0" w:after="70" w:line="269" w:lineRule="auto"/>
      </w:pPr>
      <w:r>
        <w:rPr>
          <w:rFonts w:ascii="Aptos" w:hAnsi="Aptos" w:eastAsia="Microsoft YaHei"/>
          <w:b w:val="0"/>
          <w:color w:val="18252D"/>
          <w:sz w:val="20"/>
        </w:rPr>
        <w:t>与南门露天剧场联动，形成“草坪活动前后补给 + 品牌体验”闭环。</w:t>
      </w:r>
    </w:p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0B5A46"/>
          <w:sz w:val="21"/>
        </w:rPr>
        <w:t>价格与时段口径：饮品/面包 15-45 元；亲子 DIY/文创 39-129 元；演出活动另算。</w:t>
      </w:r>
    </w:p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5E6B73"/>
          <w:sz w:val="20"/>
        </w:rPr>
        <w:t>支撑线索：美食/票务/亲子偏好；消费价格带 51-150 元可解释；空间面积足够做品牌复合。</w:t>
      </w:r>
    </w:p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7B5A00"/>
          <w:sz w:val="20"/>
        </w:rPr>
        <w:t>边界：不把夜间演艺、酒水和大型音乐消费写成首期确定收益。</w:t>
      </w:r>
    </w:p>
    <w:p>
      <w:pPr>
        <w:spacing w:before="200" w:after="100" w:line="252" w:lineRule="auto"/>
      </w:pPr>
      <w:r>
        <w:rPr>
          <w:rFonts w:ascii="Aptos" w:hAnsi="Aptos" w:eastAsia="Microsoft YaHei"/>
          <w:b/>
          <w:color w:val="245D7A"/>
          <w:sz w:val="25"/>
        </w:rPr>
        <w:t>4.4 南门地下预埋空间 | 先做分区样板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shd w:fill="F8F1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60" w:line="264" w:lineRule="auto"/>
            </w:pPr>
            <w:r>
              <w:rPr>
                <w:rFonts w:ascii="Aptos" w:hAnsi="Aptos" w:eastAsia="Microsoft YaHei"/>
                <w:b/>
                <w:color w:val="18252D"/>
                <w:sz w:val="21"/>
              </w:rPr>
              <w:t>预测判断</w:t>
            </w:r>
          </w:p>
          <w:p>
            <w:pPr>
              <w:spacing w:before="0" w:after="40" w:line="276" w:lineRule="auto"/>
            </w:pPr>
            <w:r>
              <w:rPr>
                <w:rFonts w:ascii="Aptos" w:hAnsi="Aptos" w:eastAsia="Microsoft YaHei"/>
                <w:b w:val="0"/>
                <w:color w:val="18252D"/>
                <w:sz w:val="20"/>
              </w:rPr>
              <w:t>面积最大，也最容易误判。运动消费和补给需求存在，但一次性满铺会把招商、消防、动线、库存和人力复杂度同时拉高。</w:t>
            </w:r>
          </w:p>
        </w:tc>
      </w:tr>
    </w:tbl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5E6B73"/>
          <w:sz w:val="20"/>
        </w:rPr>
        <w:t>原计划理解：方案一运动奥莱折扣仓；方案二大型古风/科幻实景 RPG。</w:t>
      </w:r>
    </w:p>
    <w:p>
      <w:pPr>
        <w:spacing w:before="0" w:after="120" w:line="281" w:lineRule="auto"/>
      </w:pPr>
      <w:r>
        <w:rPr>
          <w:rFonts w:ascii="Aptos" w:hAnsi="Aptos" w:eastAsia="Microsoft YaHei"/>
          <w:b/>
          <w:color w:val="18252D"/>
          <w:sz w:val="21"/>
        </w:rPr>
        <w:t>调整建议：拆成运动户外快闪仓、赛事补给、儿童托管/休息、轻体验和招商样板区；RPG 只保留为局部节假日活动。</w:t>
      </w:r>
    </w:p>
    <w:p>
      <w:pPr>
        <w:pStyle w:val="ListBullet"/>
        <w:spacing w:before="0" w:after="70" w:line="269" w:lineRule="auto"/>
      </w:pPr>
      <w:r>
        <w:rPr>
          <w:rFonts w:ascii="Aptos" w:hAnsi="Aptos" w:eastAsia="Microsoft YaHei"/>
          <w:b w:val="0"/>
          <w:color w:val="18252D"/>
          <w:sz w:val="20"/>
        </w:rPr>
        <w:t>先切出样板区做运动补给、装备快闪、休息/托管和赛事服务。</w:t>
      </w:r>
    </w:p>
    <w:p>
      <w:pPr>
        <w:pStyle w:val="ListBullet"/>
        <w:spacing w:before="0" w:after="70" w:line="269" w:lineRule="auto"/>
      </w:pPr>
      <w:r>
        <w:rPr>
          <w:rFonts w:ascii="Aptos" w:hAnsi="Aptos" w:eastAsia="Microsoft YaHei"/>
          <w:b w:val="0"/>
          <w:color w:val="18252D"/>
          <w:sz w:val="20"/>
        </w:rPr>
        <w:t>用 30-60 天观察动线、排队、停留和品牌反馈，再决定是否扩大。</w:t>
      </w:r>
    </w:p>
    <w:p>
      <w:pPr>
        <w:pStyle w:val="ListBullet"/>
        <w:spacing w:before="0" w:after="70" w:line="269" w:lineRule="auto"/>
      </w:pPr>
      <w:r>
        <w:rPr>
          <w:rFonts w:ascii="Aptos" w:hAnsi="Aptos" w:eastAsia="Microsoft YaHei"/>
          <w:b w:val="0"/>
          <w:color w:val="18252D"/>
          <w:sz w:val="20"/>
        </w:rPr>
        <w:t>把仓储、售卖和体验分开，避免地下空间一开始变成低效大卖场。</w:t>
      </w:r>
    </w:p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0B5A46"/>
          <w:sz w:val="21"/>
        </w:rPr>
        <w:t>价格与时段口径：零售折扣按品牌定价；体验/托管 29-99 元；大型沉浸项目不进入首期预测。</w:t>
      </w:r>
    </w:p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5E6B73"/>
          <w:sz w:val="20"/>
        </w:rPr>
        <w:t>支撑线索：运动健身 TGI 125 / 瑜伽 TGI 382；地下空间面积充足；运动类 POI 供给活跃。</w:t>
      </w:r>
    </w:p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7B5A00"/>
          <w:sz w:val="20"/>
        </w:rPr>
        <w:t>边界：不按 5417㎡ 一次性满铺；不把大型 RPG 当首轮收入主线。</w:t>
      </w:r>
    </w:p>
    <w:p>
      <w:pPr>
        <w:spacing w:before="200" w:after="100" w:line="252" w:lineRule="auto"/>
      </w:pPr>
      <w:r>
        <w:rPr>
          <w:rFonts w:ascii="Aptos" w:hAnsi="Aptos" w:eastAsia="Microsoft YaHei"/>
          <w:b/>
          <w:color w:val="245D7A"/>
          <w:sz w:val="25"/>
        </w:rPr>
        <w:t>4.5 奥运廉洁主题展馆 | 第二批资质合作试点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shd w:fill="F8F1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60" w:line="264" w:lineRule="auto"/>
            </w:pPr>
            <w:r>
              <w:rPr>
                <w:rFonts w:ascii="Aptos" w:hAnsi="Aptos" w:eastAsia="Microsoft YaHei"/>
                <w:b/>
                <w:color w:val="18252D"/>
                <w:sz w:val="21"/>
              </w:rPr>
              <w:t>预测判断</w:t>
            </w:r>
          </w:p>
          <w:p>
            <w:pPr>
              <w:spacing w:before="0" w:after="40" w:line="276" w:lineRule="auto"/>
            </w:pPr>
            <w:r>
              <w:rPr>
                <w:rFonts w:ascii="Aptos" w:hAnsi="Aptos" w:eastAsia="Microsoft YaHei"/>
                <w:b w:val="0"/>
                <w:color w:val="18252D"/>
                <w:sz w:val="20"/>
              </w:rPr>
              <w:t>健康、瑜伽、康养需求有数据支撑，但医疗化和检测化会引入资质、责任和信任门槛；更适合先做健康生活方式场景。</w:t>
            </w:r>
          </w:p>
        </w:tc>
      </w:tr>
    </w:tbl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5E6B73"/>
          <w:sz w:val="20"/>
        </w:rPr>
        <w:t>原计划理解：身心疗愈中心，引入检测设备、疗愈室、功法/瑜伽、营养咨询和茶吧。</w:t>
      </w:r>
    </w:p>
    <w:p>
      <w:pPr>
        <w:spacing w:before="0" w:after="120" w:line="281" w:lineRule="auto"/>
      </w:pPr>
      <w:r>
        <w:rPr>
          <w:rFonts w:ascii="Aptos" w:hAnsi="Aptos" w:eastAsia="Microsoft YaHei"/>
          <w:b/>
          <w:color w:val="18252D"/>
          <w:sz w:val="21"/>
        </w:rPr>
        <w:t>调整建议：首期做健康展陈、八段锦/瑜伽、营养茶吧、公益讲座和企业健康活动；检测/疗程作为二期合作专区。</w:t>
      </w:r>
    </w:p>
    <w:p>
      <w:pPr>
        <w:pStyle w:val="ListBullet"/>
        <w:spacing w:before="0" w:after="70" w:line="269" w:lineRule="auto"/>
      </w:pPr>
      <w:r>
        <w:rPr>
          <w:rFonts w:ascii="Aptos" w:hAnsi="Aptos" w:eastAsia="Microsoft YaHei"/>
          <w:b w:val="0"/>
          <w:color w:val="18252D"/>
          <w:sz w:val="20"/>
        </w:rPr>
        <w:t>雨天、高温和淡季承接室内课程与团体活动。</w:t>
      </w:r>
    </w:p>
    <w:p>
      <w:pPr>
        <w:pStyle w:val="ListBullet"/>
        <w:spacing w:before="0" w:after="70" w:line="269" w:lineRule="auto"/>
      </w:pPr>
      <w:r>
        <w:rPr>
          <w:rFonts w:ascii="Aptos" w:hAnsi="Aptos" w:eastAsia="Microsoft YaHei"/>
          <w:b w:val="0"/>
          <w:color w:val="18252D"/>
          <w:sz w:val="20"/>
        </w:rPr>
        <w:t>以非医疗化表达组织内容：运动恢复、健康生活、营养茶饮、公益讲座。</w:t>
      </w:r>
    </w:p>
    <w:p>
      <w:pPr>
        <w:pStyle w:val="ListBullet"/>
        <w:spacing w:before="0" w:after="70" w:line="269" w:lineRule="auto"/>
      </w:pPr>
      <w:r>
        <w:rPr>
          <w:rFonts w:ascii="Aptos" w:hAnsi="Aptos" w:eastAsia="Microsoft YaHei"/>
          <w:b w:val="0"/>
          <w:color w:val="18252D"/>
          <w:sz w:val="20"/>
        </w:rPr>
        <w:t>把企业健康日、银发课程、研学活动作为预约型产品。</w:t>
      </w:r>
    </w:p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0B5A46"/>
          <w:sz w:val="21"/>
        </w:rPr>
        <w:t>价格与时段口径：体验/课程 49-199 元；检测/疗程只在资质合作方确认后另行设计。</w:t>
      </w:r>
    </w:p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5E6B73"/>
          <w:sz w:val="20"/>
        </w:rPr>
        <w:t>支撑线索：健康养生 TGI 123；运动健身 TGI 125；雨天/高温需要室内替代。</w:t>
      </w:r>
    </w:p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7B5A00"/>
          <w:sz w:val="20"/>
        </w:rPr>
        <w:t>边界：首期不包装医疗检测、诊疗结论和疗程销售。</w:t>
      </w:r>
    </w:p>
    <w:p>
      <w:pPr>
        <w:spacing w:before="200" w:after="100" w:line="252" w:lineRule="auto"/>
      </w:pPr>
      <w:r>
        <w:rPr>
          <w:rFonts w:ascii="Aptos" w:hAnsi="Aptos" w:eastAsia="Microsoft YaHei"/>
          <w:b/>
          <w:color w:val="245D7A"/>
          <w:sz w:val="25"/>
        </w:rPr>
        <w:t>4.6 10#2A03分区管理中心 | 第二批文化康养试点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shd w:fill="F8F1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60" w:line="264" w:lineRule="auto"/>
            </w:pPr>
            <w:r>
              <w:rPr>
                <w:rFonts w:ascii="Aptos" w:hAnsi="Aptos" w:eastAsia="Microsoft YaHei"/>
                <w:b/>
                <w:color w:val="18252D"/>
                <w:sz w:val="21"/>
              </w:rPr>
              <w:t>预测判断</w:t>
            </w:r>
          </w:p>
          <w:p>
            <w:pPr>
              <w:spacing w:before="0" w:after="40" w:line="276" w:lineRule="auto"/>
            </w:pPr>
            <w:r>
              <w:rPr>
                <w:rFonts w:ascii="Aptos" w:hAnsi="Aptos" w:eastAsia="Microsoft YaHei"/>
                <w:b w:val="0"/>
                <w:color w:val="18252D"/>
                <w:sz w:val="20"/>
              </w:rPr>
              <w:t>国医国学方向可成立，但诊疗、针灸、中药房属于高资质业务；首期应以文化体验和非医疗化康养课程切入。</w:t>
            </w:r>
          </w:p>
        </w:tc>
      </w:tr>
    </w:tbl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5E6B73"/>
          <w:sz w:val="20"/>
        </w:rPr>
        <w:t>原计划理解：国医国学文化中心，含中医诊疗、康复理疗、国学教育、茶道、文创。</w:t>
      </w:r>
    </w:p>
    <w:p>
      <w:pPr>
        <w:spacing w:before="0" w:after="120" w:line="281" w:lineRule="auto"/>
      </w:pPr>
      <w:r>
        <w:rPr>
          <w:rFonts w:ascii="Aptos" w:hAnsi="Aptos" w:eastAsia="Microsoft YaHei"/>
          <w:b/>
          <w:color w:val="18252D"/>
          <w:sz w:val="21"/>
        </w:rPr>
        <w:t>调整建议：改成国医文化展陈、茶道/书法/八段锦、艾草香囊/文创、轻理疗体验；医疗服务只与合规机构做二期专区。</w:t>
      </w:r>
    </w:p>
    <w:p>
      <w:pPr>
        <w:pStyle w:val="ListBullet"/>
        <w:spacing w:before="0" w:after="70" w:line="269" w:lineRule="auto"/>
      </w:pPr>
      <w:r>
        <w:rPr>
          <w:rFonts w:ascii="Aptos" w:hAnsi="Aptos" w:eastAsia="Microsoft YaHei"/>
          <w:b w:val="0"/>
          <w:color w:val="18252D"/>
          <w:sz w:val="20"/>
        </w:rPr>
        <w:t>工作日做团体课程和企业活动，周末做亲子/银发体验。</w:t>
      </w:r>
    </w:p>
    <w:p>
      <w:pPr>
        <w:pStyle w:val="ListBullet"/>
        <w:spacing w:before="0" w:after="70" w:line="269" w:lineRule="auto"/>
      </w:pPr>
      <w:r>
        <w:rPr>
          <w:rFonts w:ascii="Aptos" w:hAnsi="Aptos" w:eastAsia="Microsoft YaHei"/>
          <w:b w:val="0"/>
          <w:color w:val="18252D"/>
          <w:sz w:val="20"/>
        </w:rPr>
        <w:t>文创、茶饮、香囊和课程形成低风险成交闭环。</w:t>
      </w:r>
    </w:p>
    <w:p>
      <w:pPr>
        <w:pStyle w:val="ListBullet"/>
        <w:spacing w:before="0" w:after="70" w:line="269" w:lineRule="auto"/>
      </w:pPr>
      <w:r>
        <w:rPr>
          <w:rFonts w:ascii="Aptos" w:hAnsi="Aptos" w:eastAsia="Microsoft YaHei"/>
          <w:b w:val="0"/>
          <w:color w:val="18252D"/>
          <w:sz w:val="20"/>
        </w:rPr>
        <w:t>医疗相关空间单独做资质清单和责任边界，不和文化体验混写。</w:t>
      </w:r>
    </w:p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0B5A46"/>
          <w:sz w:val="21"/>
        </w:rPr>
        <w:t>价格与时段口径：文化课程 39-199 元；文创/茶饮 20-150 元；诊疗类不进入首期预测。</w:t>
      </w:r>
    </w:p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5E6B73"/>
          <w:sz w:val="20"/>
        </w:rPr>
        <w:t>支撑线索：教育/亲子偏好；健康偏好；2A03 管理用房在南园 DWG 识别。</w:t>
      </w:r>
    </w:p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7B5A00"/>
          <w:sz w:val="20"/>
        </w:rPr>
        <w:t>边界：不把诊疗、针灸、中药房写入首期经营预测。</w:t>
      </w:r>
    </w:p>
    <w:p>
      <w:pPr>
        <w:spacing w:before="300" w:after="140" w:line="252" w:lineRule="auto"/>
      </w:pPr>
      <w:r>
        <w:rPr>
          <w:rFonts w:ascii="Aptos" w:hAnsi="Aptos" w:eastAsia="Microsoft YaHei"/>
          <w:b/>
          <w:color w:val="173E63"/>
          <w:sz w:val="32"/>
        </w:rPr>
        <w:t>5. 人群行为预测如何进入建议</w:t>
      </w:r>
    </w:p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18252D"/>
          <w:sz w:val="21"/>
        </w:rPr>
        <w:t>本轮不把人群写成空泛标签，而是采用“状态 -&gt; 行为 -&gt; 需求 -&gt; 节点动作”的链条。这样能解释为什么同样是高客流，有些空间适合快取，有些适合预约，有些只能先做样板。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800"/>
        <w:gridCol w:w="1800"/>
        <w:gridCol w:w="3384"/>
      </w:tblGrid>
      <w:tr>
        <w:tc>
          <w:tcPr>
            <w:tcW w:type="dxa" w:w="2088"/>
            <w:shd w:fill="EAF2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/>
                <w:color w:val="173E63"/>
                <w:sz w:val="17"/>
              </w:rPr>
              <w:t>人群状态</w:t>
            </w:r>
          </w:p>
        </w:tc>
        <w:tc>
          <w:tcPr>
            <w:tcW w:type="dxa" w:w="1800"/>
            <w:shd w:fill="EAF2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/>
                <w:color w:val="173E63"/>
                <w:sz w:val="17"/>
              </w:rPr>
              <w:t>时段/天气</w:t>
            </w:r>
          </w:p>
        </w:tc>
        <w:tc>
          <w:tcPr>
            <w:tcW w:type="dxa" w:w="1800"/>
            <w:shd w:fill="EAF2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/>
                <w:color w:val="173E63"/>
                <w:sz w:val="17"/>
              </w:rPr>
              <w:t>空间语境</w:t>
            </w:r>
          </w:p>
        </w:tc>
        <w:tc>
          <w:tcPr>
            <w:tcW w:type="dxa" w:w="3384"/>
            <w:shd w:fill="EAF2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/>
                <w:color w:val="173E63"/>
                <w:sz w:val="17"/>
              </w:rPr>
              <w:t>更合理的动作</w:t>
            </w:r>
          </w:p>
        </w:tc>
      </w:tr>
      <w:tr>
        <w:tc>
          <w:tcPr>
            <w:tcW w:type="dxa" w:w="20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晨练/跑步人群</w:t>
            </w:r>
          </w:p>
        </w:tc>
        <w:tc>
          <w:tcPr>
            <w:tcW w:type="dxa" w:w="18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清晨 / 舒适天气</w:t>
            </w:r>
          </w:p>
        </w:tc>
        <w:tc>
          <w:tcPr>
            <w:tcW w:type="dxa" w:w="18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入口/闸口</w:t>
            </w:r>
          </w:p>
        </w:tc>
        <w:tc>
          <w:tcPr>
            <w:tcW w:type="dxa" w:w="338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饮水机/直饮水点</w:t>
            </w:r>
          </w:p>
        </w:tc>
      </w:tr>
      <w:tr>
        <w:tc>
          <w:tcPr>
            <w:tcW w:type="dxa" w:w="20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亲子家庭</w:t>
            </w:r>
          </w:p>
        </w:tc>
        <w:tc>
          <w:tcPr>
            <w:tcW w:type="dxa" w:w="18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上午 / 高温暴晒</w:t>
            </w:r>
          </w:p>
        </w:tc>
        <w:tc>
          <w:tcPr>
            <w:tcW w:type="dxa" w:w="18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主环路/主路径</w:t>
            </w:r>
          </w:p>
        </w:tc>
        <w:tc>
          <w:tcPr>
            <w:tcW w:type="dxa" w:w="338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咖啡/冷饮小站</w:t>
            </w:r>
          </w:p>
        </w:tc>
      </w:tr>
      <w:tr>
        <w:tc>
          <w:tcPr>
            <w:tcW w:type="dxa" w:w="20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周边白领/午间客群</w:t>
            </w:r>
          </w:p>
        </w:tc>
        <w:tc>
          <w:tcPr>
            <w:tcW w:type="dxa" w:w="18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下午 / 寒冷大风</w:t>
            </w:r>
          </w:p>
        </w:tc>
        <w:tc>
          <w:tcPr>
            <w:tcW w:type="dxa" w:w="18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活动/展陈节点</w:t>
            </w:r>
          </w:p>
        </w:tc>
        <w:tc>
          <w:tcPr>
            <w:tcW w:type="dxa" w:w="338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卫生间与排队改善</w:t>
            </w:r>
          </w:p>
        </w:tc>
      </w:tr>
      <w:tr>
        <w:tc>
          <w:tcPr>
            <w:tcW w:type="dxa" w:w="20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外地游客/拍照客群</w:t>
            </w:r>
          </w:p>
        </w:tc>
        <w:tc>
          <w:tcPr>
            <w:tcW w:type="dxa" w:w="18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傍晚 / 空气质量较差</w:t>
            </w:r>
          </w:p>
        </w:tc>
        <w:tc>
          <w:tcPr>
            <w:tcW w:type="dxa" w:w="18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服务缺口节点</w:t>
            </w:r>
          </w:p>
        </w:tc>
        <w:tc>
          <w:tcPr>
            <w:tcW w:type="dxa" w:w="338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儿童友好轻食</w:t>
            </w:r>
          </w:p>
        </w:tc>
      </w:tr>
      <w:tr>
        <w:tc>
          <w:tcPr>
            <w:tcW w:type="dxa" w:w="20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文化研学/活动客群</w:t>
            </w:r>
          </w:p>
        </w:tc>
        <w:tc>
          <w:tcPr>
            <w:tcW w:type="dxa" w:w="18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周末/节假日高峰 / 舒适天气</w:t>
            </w:r>
          </w:p>
        </w:tc>
        <w:tc>
          <w:tcPr>
            <w:tcW w:type="dxa" w:w="18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离园出口/换乘口</w:t>
            </w:r>
          </w:p>
        </w:tc>
        <w:tc>
          <w:tcPr>
            <w:tcW w:type="dxa" w:w="338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电子提示屏</w:t>
            </w:r>
          </w:p>
        </w:tc>
      </w:tr>
      <w:tr>
        <w:tc>
          <w:tcPr>
            <w:tcW w:type="dxa" w:w="20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银发慢游人群</w:t>
            </w:r>
          </w:p>
        </w:tc>
        <w:tc>
          <w:tcPr>
            <w:tcW w:type="dxa" w:w="18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午间 / 降雨</w:t>
            </w:r>
          </w:p>
        </w:tc>
        <w:tc>
          <w:tcPr>
            <w:tcW w:type="dxa" w:w="18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湖边/景观停留区</w:t>
            </w:r>
          </w:p>
        </w:tc>
        <w:tc>
          <w:tcPr>
            <w:tcW w:type="dxa" w:w="338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暂不新增，仅观察复核</w:t>
            </w:r>
          </w:p>
        </w:tc>
      </w:tr>
    </w:tbl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18252D"/>
          <w:sz w:val="21"/>
        </w:rPr>
        <w:t>对报告的直接影响：晨练人群更适合补水、快取和路线不中断；亲子家庭更在意安全、座位、遮阴和轻食；拍照/游客更容易被景观、花季和可分享产品触发；银发和白领对康养场景更看重信任、低风险和预约秩序。</w:t>
      </w:r>
    </w:p>
    <w:p>
      <w:pPr>
        <w:spacing w:before="300" w:after="140" w:line="252" w:lineRule="auto"/>
      </w:pPr>
      <w:r>
        <w:rPr>
          <w:rFonts w:ascii="Aptos" w:hAnsi="Aptos" w:eastAsia="Microsoft YaHei"/>
          <w:b/>
          <w:color w:val="173E63"/>
          <w:sz w:val="32"/>
        </w:rPr>
        <w:t>6. 90 天推进节奏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824"/>
        <w:gridCol w:w="2808"/>
      </w:tblGrid>
      <w:tr>
        <w:tc>
          <w:tcPr>
            <w:tcW w:type="dxa" w:w="1512"/>
            <w:shd w:fill="EAF2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/>
                <w:color w:val="173E63"/>
                <w:sz w:val="17"/>
              </w:rPr>
              <w:t>阶段</w:t>
            </w:r>
          </w:p>
        </w:tc>
        <w:tc>
          <w:tcPr>
            <w:tcW w:type="dxa" w:w="4824"/>
            <w:shd w:fill="EAF2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/>
                <w:color w:val="173E63"/>
                <w:sz w:val="17"/>
              </w:rPr>
              <w:t>主动作</w:t>
            </w:r>
          </w:p>
        </w:tc>
        <w:tc>
          <w:tcPr>
            <w:tcW w:type="dxa" w:w="2808"/>
            <w:shd w:fill="EAF2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/>
                <w:color w:val="173E63"/>
                <w:sz w:val="17"/>
              </w:rPr>
              <w:t>判断口径</w:t>
            </w:r>
          </w:p>
        </w:tc>
      </w:tr>
      <w:tr>
        <w:tc>
          <w:tcPr>
            <w:tcW w:type="dxa" w:w="151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1-30 天</w:t>
            </w:r>
          </w:p>
        </w:tc>
        <w:tc>
          <w:tcPr>
            <w:tcW w:type="dxa" w:w="4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南门露天剧场和桃花源白房子先跑移动咖啡、冷饮、烘焙轻餐、花季/周末预约活动。</w:t>
            </w:r>
          </w:p>
        </w:tc>
        <w:tc>
          <w:tcPr>
            <w:tcW w:type="dxa" w:w="280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购买转化、停留时长、排队、天气影响、客诉、复购线索。</w:t>
            </w:r>
          </w:p>
        </w:tc>
      </w:tr>
      <w:tr>
        <w:tc>
          <w:tcPr>
            <w:tcW w:type="dxa" w:w="151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31-60 天</w:t>
            </w:r>
          </w:p>
        </w:tc>
        <w:tc>
          <w:tcPr>
            <w:tcW w:type="dxa" w:w="4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12# 做国潮轻餐与亲子/文创快闪；地下空间只开放运动补给和快闪样板区。</w:t>
            </w:r>
          </w:p>
        </w:tc>
        <w:tc>
          <w:tcPr>
            <w:tcW w:type="dxa" w:w="280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品牌吸引力、亲子停留、样板区动线、地下空间运营压力。</w:t>
            </w:r>
          </w:p>
        </w:tc>
      </w:tr>
      <w:tr>
        <w:tc>
          <w:tcPr>
            <w:tcW w:type="dxa" w:w="151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61-90 天</w:t>
            </w:r>
          </w:p>
        </w:tc>
        <w:tc>
          <w:tcPr>
            <w:tcW w:type="dxa" w:w="4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廉洁馆与 2A03 做课程、茶吧、轻康养体验；沉淀第二批招商条件。</w:t>
            </w:r>
          </w:p>
        </w:tc>
        <w:tc>
          <w:tcPr>
            <w:tcW w:type="dxa" w:w="280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预约率、到课率、课程复购、银发/白领接受度、资质合作边界。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shd w:fill="F8EDEA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60" w:line="264" w:lineRule="auto"/>
            </w:pPr>
            <w:r>
              <w:rPr>
                <w:rFonts w:ascii="Aptos" w:hAnsi="Aptos" w:eastAsia="Microsoft YaHei"/>
                <w:b/>
                <w:color w:val="8A2F20"/>
                <w:sz w:val="21"/>
              </w:rPr>
              <w:t>执行口径</w:t>
            </w:r>
          </w:p>
          <w:p>
            <w:pPr>
              <w:spacing w:before="0" w:after="40" w:line="276" w:lineRule="auto"/>
            </w:pPr>
            <w:r>
              <w:rPr>
                <w:rFonts w:ascii="Aptos" w:hAnsi="Aptos" w:eastAsia="Microsoft YaHei"/>
                <w:b w:val="0"/>
                <w:color w:val="8A2F20"/>
                <w:sz w:val="20"/>
              </w:rPr>
              <w:t>先用小样本试运营校准价格带、排队、停留、复购和天气敏感性；不把宏观收入、方案测算假设或外部竞品客单直接写成奥森节点收益。</w:t>
            </w:r>
          </w:p>
        </w:tc>
      </w:tr>
    </w:tbl>
    <w:p>
      <w:pPr>
        <w:sectPr>
          <w:pgSz w:w="12240" w:h="15840"/>
          <w:pgMar w:top="1181" w:right="1296" w:bottom="1181" w:left="1296" w:header="720" w:footer="720" w:gutter="0"/>
          <w:cols w:space="720"/>
          <w:docGrid w:linePitch="360"/>
        </w:sectPr>
      </w:pPr>
    </w:p>
    <w:p>
      <w:pPr>
        <w:spacing w:before="300" w:after="140" w:line="252" w:lineRule="auto"/>
      </w:pPr>
      <w:r>
        <w:rPr>
          <w:rFonts w:ascii="Aptos" w:hAnsi="Aptos" w:eastAsia="Microsoft YaHei"/>
          <w:b/>
          <w:color w:val="173E63"/>
          <w:sz w:val="32"/>
        </w:rPr>
        <w:t>附录 A. 数据口径与实施边界</w:t>
      </w:r>
    </w:p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18252D"/>
          <w:sz w:val="21"/>
        </w:rPr>
        <w:t>以下说明用于帮助后续讨论统一口径。它不改变本报告的主线判断，也不替代现场踏勘、深化设计、招商测算和运营试点。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456"/>
        <w:gridCol w:w="3168"/>
      </w:tblGrid>
      <w:tr>
        <w:tc>
          <w:tcPr>
            <w:tcW w:type="dxa" w:w="2304"/>
            <w:shd w:fill="EAF2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/>
                <w:color w:val="173E63"/>
                <w:sz w:val="17"/>
              </w:rPr>
              <w:t>口径</w:t>
            </w:r>
          </w:p>
        </w:tc>
        <w:tc>
          <w:tcPr>
            <w:tcW w:type="dxa" w:w="3456"/>
            <w:shd w:fill="EAF2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/>
                <w:color w:val="173E63"/>
                <w:sz w:val="17"/>
              </w:rPr>
              <w:t>本报告如何使用</w:t>
            </w:r>
          </w:p>
        </w:tc>
        <w:tc>
          <w:tcPr>
            <w:tcW w:type="dxa" w:w="3168"/>
            <w:shd w:fill="EAF2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/>
                <w:color w:val="173E63"/>
                <w:sz w:val="17"/>
              </w:rPr>
              <w:t>实施前需要控制的边界</w:t>
            </w:r>
          </w:p>
        </w:tc>
      </w:tr>
      <w:tr>
        <w:tc>
          <w:tcPr>
            <w:tcW w:type="dxa" w:w="230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客流与消费偏好</w:t>
            </w:r>
          </w:p>
        </w:tc>
        <w:tc>
          <w:tcPr>
            <w:tcW w:type="dxa" w:w="345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用于判断哪些业态和时段更有承接机会。</w:t>
            </w:r>
          </w:p>
        </w:tc>
        <w:tc>
          <w:tcPr>
            <w:tcW w:type="dxa" w:w="31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客流和偏好不等于成交率，收益仍需试运营流水校准。</w:t>
            </w:r>
          </w:p>
        </w:tc>
      </w:tr>
      <w:tr>
        <w:tc>
          <w:tcPr>
            <w:tcW w:type="dxa" w:w="230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策划方案与图纸</w:t>
            </w:r>
          </w:p>
        </w:tc>
        <w:tc>
          <w:tcPr>
            <w:tcW w:type="dxa" w:w="345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用于识别重点节点、空间角色和可先行测试的商业动作。</w:t>
            </w:r>
          </w:p>
        </w:tc>
        <w:tc>
          <w:tcPr>
            <w:tcW w:type="dxa" w:w="31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图纸信息进入施工和招商前，应由设计、消防、运营团队复核。</w:t>
            </w:r>
          </w:p>
        </w:tc>
      </w:tr>
      <w:tr>
        <w:tc>
          <w:tcPr>
            <w:tcW w:type="dxa" w:w="230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周边供给与价格带</w:t>
            </w:r>
          </w:p>
        </w:tc>
        <w:tc>
          <w:tcPr>
            <w:tcW w:type="dxa" w:w="345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用于约束园内业态组合和初始价格区间。</w:t>
            </w:r>
          </w:p>
        </w:tc>
        <w:tc>
          <w:tcPr>
            <w:tcW w:type="dxa" w:w="31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周边客单不能直接等同于园内成交能力。</w:t>
            </w:r>
          </w:p>
        </w:tc>
      </w:tr>
      <w:tr>
        <w:tc>
          <w:tcPr>
            <w:tcW w:type="dxa" w:w="230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节点优先级</w:t>
            </w:r>
          </w:p>
        </w:tc>
        <w:tc>
          <w:tcPr>
            <w:tcW w:type="dxa" w:w="345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用于安排首批试点、第二批验证和暂缓扩大项。</w:t>
            </w:r>
          </w:p>
        </w:tc>
        <w:tc>
          <w:tcPr>
            <w:tcW w:type="dxa" w:w="31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30" w:line="259" w:lineRule="auto"/>
            </w:pPr>
            <w:r/>
            <w:r>
              <w:rPr>
                <w:rFonts w:ascii="Aptos" w:hAnsi="Aptos" w:eastAsia="Microsoft YaHei"/>
                <w:b w:val="0"/>
                <w:color w:val="18252D"/>
                <w:sz w:val="17"/>
              </w:rPr>
              <w:t>优先级不是最终投资批复，仍需结合审批、招商、工程和运营排期。</w:t>
            </w:r>
          </w:p>
        </w:tc>
      </w:tr>
    </w:tbl>
    <w:p>
      <w:pPr>
        <w:spacing w:before="300" w:after="140" w:line="252" w:lineRule="auto"/>
      </w:pPr>
      <w:r>
        <w:rPr>
          <w:rFonts w:ascii="Aptos" w:hAnsi="Aptos" w:eastAsia="Microsoft YaHei"/>
          <w:b/>
          <w:color w:val="173E63"/>
          <w:sz w:val="32"/>
        </w:rPr>
        <w:t>附录 B. 本轮建议的使用方式</w:t>
      </w:r>
    </w:p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18252D"/>
          <w:sz w:val="21"/>
        </w:rPr>
        <w:t>建议把本报告作为方案确认和试运营设计的第一版工作稿：先确认首批试点方向，再组织现场复核、招商沟通和 30-90 天试运营。试运营结果返回后，可继续修正价格带、排班、节点组合和招商边界。</w:t>
      </w:r>
    </w:p>
    <w:p>
      <w:pPr>
        <w:pStyle w:val="ListBullet"/>
        <w:spacing w:before="0" w:after="70" w:line="269" w:lineRule="auto"/>
      </w:pPr>
      <w:r>
        <w:rPr>
          <w:rFonts w:ascii="Aptos" w:hAnsi="Aptos" w:eastAsia="Microsoft YaHei"/>
          <w:b w:val="0"/>
          <w:color w:val="5E6B73"/>
          <w:sz w:val="19"/>
        </w:rPr>
        <w:t>方案确认：确认南门、桃花源白房子、12# 是否作为首批试点组合。</w:t>
      </w:r>
    </w:p>
    <w:p>
      <w:pPr>
        <w:pStyle w:val="ListBullet"/>
        <w:spacing w:before="0" w:after="70" w:line="269" w:lineRule="auto"/>
      </w:pPr>
      <w:r>
        <w:rPr>
          <w:rFonts w:ascii="Aptos" w:hAnsi="Aptos" w:eastAsia="Microsoft YaHei"/>
          <w:b w:val="0"/>
          <w:color w:val="5E6B73"/>
          <w:sz w:val="19"/>
        </w:rPr>
        <w:t>现场复核：核对动线、座位、遮阴、排队、供电、排水、垃圾回收和安全边界。</w:t>
      </w:r>
    </w:p>
    <w:p>
      <w:pPr>
        <w:pStyle w:val="ListBullet"/>
        <w:spacing w:before="0" w:after="70" w:line="269" w:lineRule="auto"/>
      </w:pPr>
      <w:r>
        <w:rPr>
          <w:rFonts w:ascii="Aptos" w:hAnsi="Aptos" w:eastAsia="Microsoft YaHei"/>
          <w:b w:val="0"/>
          <w:color w:val="5E6B73"/>
          <w:sz w:val="19"/>
        </w:rPr>
        <w:t>招商沟通：优先接触咖啡/冷饮、烘焙轻餐、国潮轻餐、亲子文创、运动补给和轻康养合作方。</w:t>
      </w:r>
    </w:p>
    <w:p>
      <w:pPr>
        <w:pStyle w:val="ListBullet"/>
        <w:spacing w:before="0" w:after="70" w:line="269" w:lineRule="auto"/>
      </w:pPr>
      <w:r>
        <w:rPr>
          <w:rFonts w:ascii="Aptos" w:hAnsi="Aptos" w:eastAsia="Microsoft YaHei"/>
          <w:b w:val="0"/>
          <w:color w:val="5E6B73"/>
          <w:sz w:val="19"/>
        </w:rPr>
        <w:t>试运营设计：按 30 天一个周期记录客流、购买、预约、排队、天气影响和客诉。</w:t>
      </w:r>
    </w:p>
    <w:p>
      <w:pPr>
        <w:pStyle w:val="ListBullet"/>
        <w:spacing w:before="0" w:after="70" w:line="269" w:lineRule="auto"/>
      </w:pPr>
      <w:r>
        <w:rPr>
          <w:rFonts w:ascii="Aptos" w:hAnsi="Aptos" w:eastAsia="Microsoft YaHei"/>
          <w:b w:val="0"/>
          <w:color w:val="5E6B73"/>
          <w:sz w:val="19"/>
        </w:rPr>
        <w:t>复盘调整：用试运营结果决定地下空间、医疗化康养和夜间活动是否扩大。</w:t>
      </w:r>
    </w:p>
    <w:p>
      <w:pPr>
        <w:spacing w:before="0" w:after="120" w:line="281" w:lineRule="auto"/>
      </w:pPr>
      <w:r>
        <w:rPr>
          <w:rFonts w:ascii="Aptos" w:hAnsi="Aptos" w:eastAsia="Microsoft YaHei"/>
          <w:b w:val="0"/>
          <w:color w:val="5E6B73"/>
          <w:sz w:val="18"/>
        </w:rPr>
        <w:t>报告日期：2026-06-07</w:t>
      </w:r>
    </w:p>
    <w:sectPr w:rsidR="00FC693F" w:rsidRPr="0006063C" w:rsidSect="00034616">
      <w:pgSz w:w="12240" w:h="15840"/>
      <w:pgMar w:top="1181" w:right="1296" w:bottom="1181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73E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73E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73E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