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8FBE3" w14:textId="77777777" w:rsidR="00A84621" w:rsidRPr="0062205C" w:rsidRDefault="00A84621" w:rsidP="007704B9">
      <w:pPr>
        <w:spacing w:after="0"/>
        <w:rPr>
          <w:rFonts w:cstheme="minorHAnsi"/>
          <w:sz w:val="20"/>
          <w:szCs w:val="20"/>
        </w:rPr>
      </w:pPr>
      <w:bookmarkStart w:id="0" w:name="_Hlk23774743"/>
    </w:p>
    <w:tbl>
      <w:tblPr>
        <w:tblStyle w:val="TableGrid"/>
        <w:tblW w:w="0" w:type="auto"/>
        <w:tblLook w:val="04A0" w:firstRow="1" w:lastRow="0" w:firstColumn="1" w:lastColumn="0" w:noHBand="0" w:noVBand="1"/>
      </w:tblPr>
      <w:tblGrid>
        <w:gridCol w:w="9016"/>
      </w:tblGrid>
      <w:tr w:rsidR="005235A6" w:rsidRPr="0062205C" w14:paraId="60E6B65A" w14:textId="77777777" w:rsidTr="00CE150A">
        <w:tc>
          <w:tcPr>
            <w:tcW w:w="9016" w:type="dxa"/>
            <w:shd w:val="clear" w:color="auto" w:fill="00B0F0"/>
          </w:tcPr>
          <w:p w14:paraId="32041001" w14:textId="77777777" w:rsidR="005235A6" w:rsidRPr="00C925C4" w:rsidRDefault="00E944E7" w:rsidP="007353D8">
            <w:pPr>
              <w:spacing w:after="0"/>
              <w:jc w:val="center"/>
              <w:rPr>
                <w:rFonts w:cstheme="minorHAnsi"/>
                <w:b/>
                <w:sz w:val="20"/>
                <w:szCs w:val="20"/>
              </w:rPr>
            </w:pPr>
            <w:bookmarkStart w:id="1" w:name="_Hlk12962986"/>
            <w:r w:rsidRPr="00C925C4">
              <w:rPr>
                <w:b/>
                <w:color w:val="000000"/>
                <w:sz w:val="20"/>
                <w:szCs w:val="20"/>
                <w:lang w:eastAsia="en-GB"/>
              </w:rPr>
              <w:t>ARSENIC</w:t>
            </w:r>
          </w:p>
        </w:tc>
      </w:tr>
      <w:tr w:rsidR="009F69D4" w:rsidRPr="0062205C" w14:paraId="3978BA6D" w14:textId="77777777" w:rsidTr="00CE150A">
        <w:trPr>
          <w:trHeight w:val="1570"/>
        </w:trPr>
        <w:tc>
          <w:tcPr>
            <w:tcW w:w="9016" w:type="dxa"/>
          </w:tcPr>
          <w:p w14:paraId="0DEE792F" w14:textId="77777777" w:rsidR="009F69D4" w:rsidRDefault="002922A3" w:rsidP="008978B6">
            <w:pPr>
              <w:spacing w:before="240"/>
              <w:rPr>
                <w:rFonts w:cstheme="minorHAnsi"/>
                <w:b/>
                <w:sz w:val="20"/>
                <w:szCs w:val="20"/>
              </w:rPr>
            </w:pPr>
            <w:r w:rsidRPr="00A6504D">
              <w:rPr>
                <w:rFonts w:cstheme="minorHAnsi"/>
                <w:b/>
                <w:sz w:val="20"/>
                <w:szCs w:val="20"/>
              </w:rPr>
              <w:t>DEFINITION:</w:t>
            </w:r>
          </w:p>
          <w:p w14:paraId="10ABB56D" w14:textId="77777777" w:rsidR="007704B9" w:rsidRDefault="00E944E7" w:rsidP="008978B6">
            <w:pPr>
              <w:spacing w:before="240"/>
              <w:rPr>
                <w:rFonts w:cstheme="minorHAnsi"/>
                <w:sz w:val="20"/>
                <w:szCs w:val="20"/>
              </w:rPr>
            </w:pPr>
            <w:r w:rsidRPr="00A6504D">
              <w:rPr>
                <w:sz w:val="20"/>
                <w:szCs w:val="20"/>
              </w:rPr>
              <w:t>Arsenic is widely distributed throughout the Earth’s crust, generally as arsenic sulphide or as metal arsenates and arsenides</w:t>
            </w:r>
            <w:r w:rsidR="00800A81">
              <w:rPr>
                <w:sz w:val="20"/>
                <w:szCs w:val="20"/>
              </w:rPr>
              <w:t xml:space="preserve">. </w:t>
            </w:r>
            <w:r w:rsidRPr="00A6504D">
              <w:rPr>
                <w:rFonts w:cstheme="minorHAnsi"/>
                <w:sz w:val="20"/>
                <w:szCs w:val="20"/>
              </w:rPr>
              <w:t xml:space="preserve">Human exposure to </w:t>
            </w:r>
            <w:r w:rsidR="00800A81">
              <w:rPr>
                <w:rFonts w:cstheme="minorHAnsi"/>
                <w:sz w:val="20"/>
                <w:szCs w:val="20"/>
              </w:rPr>
              <w:t xml:space="preserve">arsenic compounds </w:t>
            </w:r>
            <w:r w:rsidRPr="00A6504D">
              <w:rPr>
                <w:rFonts w:cstheme="minorHAnsi"/>
                <w:sz w:val="20"/>
                <w:szCs w:val="20"/>
              </w:rPr>
              <w:t>represents a major public health concern as it has been associated with a range of acute and long-term adverse health effects and diseases</w:t>
            </w:r>
            <w:r w:rsidR="00A6504D">
              <w:rPr>
                <w:rFonts w:cstheme="minorHAnsi"/>
                <w:sz w:val="20"/>
                <w:szCs w:val="20"/>
              </w:rPr>
              <w:t xml:space="preserve"> (W</w:t>
            </w:r>
            <w:r w:rsidR="00CE150A">
              <w:rPr>
                <w:rFonts w:cstheme="minorHAnsi"/>
                <w:sz w:val="20"/>
                <w:szCs w:val="20"/>
              </w:rPr>
              <w:t>orld Health Organization</w:t>
            </w:r>
            <w:r w:rsidR="00A6504D">
              <w:rPr>
                <w:rFonts w:cstheme="minorHAnsi"/>
                <w:sz w:val="20"/>
                <w:szCs w:val="20"/>
              </w:rPr>
              <w:t xml:space="preserve"> 2019)</w:t>
            </w:r>
            <w:r w:rsidR="00CE150A">
              <w:rPr>
                <w:rFonts w:cstheme="minorHAnsi"/>
                <w:sz w:val="20"/>
                <w:szCs w:val="20"/>
              </w:rPr>
              <w:t>.</w:t>
            </w:r>
          </w:p>
          <w:p w14:paraId="265BD6AA" w14:textId="77777777" w:rsidR="00CE150A" w:rsidRDefault="009F69D4" w:rsidP="008978B6">
            <w:pPr>
              <w:spacing w:before="240"/>
              <w:rPr>
                <w:rFonts w:cstheme="minorHAnsi"/>
                <w:b/>
                <w:sz w:val="20"/>
                <w:szCs w:val="20"/>
              </w:rPr>
            </w:pPr>
            <w:r w:rsidRPr="00A6504D">
              <w:rPr>
                <w:rFonts w:cstheme="minorHAnsi"/>
                <w:b/>
                <w:sz w:val="20"/>
                <w:szCs w:val="20"/>
              </w:rPr>
              <w:t>REFERENCE</w:t>
            </w:r>
            <w:r w:rsidR="007704B9" w:rsidRPr="00A6504D">
              <w:rPr>
                <w:rFonts w:cstheme="minorHAnsi"/>
                <w:b/>
                <w:sz w:val="20"/>
                <w:szCs w:val="20"/>
              </w:rPr>
              <w:t>:</w:t>
            </w:r>
            <w:r w:rsidR="00A6504D" w:rsidRPr="00A6504D">
              <w:rPr>
                <w:rFonts w:cstheme="minorHAnsi"/>
                <w:b/>
                <w:sz w:val="20"/>
                <w:szCs w:val="20"/>
              </w:rPr>
              <w:t xml:space="preserve"> </w:t>
            </w:r>
          </w:p>
          <w:p w14:paraId="2C46F6D9" w14:textId="77777777" w:rsidR="009F69D4" w:rsidRPr="0062205C" w:rsidRDefault="00A6504D" w:rsidP="008978B6">
            <w:pPr>
              <w:spacing w:before="240"/>
              <w:rPr>
                <w:rFonts w:cstheme="minorHAnsi"/>
                <w:b/>
                <w:sz w:val="20"/>
                <w:szCs w:val="20"/>
              </w:rPr>
            </w:pPr>
            <w:r w:rsidRPr="00A6504D">
              <w:rPr>
                <w:rFonts w:cstheme="minorHAnsi"/>
                <w:sz w:val="20"/>
                <w:szCs w:val="20"/>
              </w:rPr>
              <w:t>World Health Organi</w:t>
            </w:r>
            <w:r w:rsidR="00CE150A">
              <w:rPr>
                <w:rFonts w:cstheme="minorHAnsi"/>
                <w:sz w:val="20"/>
                <w:szCs w:val="20"/>
              </w:rPr>
              <w:t>z</w:t>
            </w:r>
            <w:r w:rsidRPr="00A6504D">
              <w:rPr>
                <w:rFonts w:cstheme="minorHAnsi"/>
                <w:sz w:val="20"/>
                <w:szCs w:val="20"/>
              </w:rPr>
              <w:t>ation (2019)</w:t>
            </w:r>
            <w:r w:rsidR="00CE150A">
              <w:rPr>
                <w:rFonts w:cstheme="minorHAnsi"/>
                <w:sz w:val="20"/>
                <w:szCs w:val="20"/>
              </w:rPr>
              <w:t>.</w:t>
            </w:r>
            <w:r w:rsidRPr="00A6504D">
              <w:rPr>
                <w:rFonts w:ascii="Arial" w:hAnsi="Arial" w:cs="Arial"/>
                <w:color w:val="000000"/>
                <w:sz w:val="20"/>
                <w:szCs w:val="20"/>
              </w:rPr>
              <w:t xml:space="preserve"> </w:t>
            </w:r>
            <w:r w:rsidR="00CE150A">
              <w:rPr>
                <w:rFonts w:cstheme="minorHAnsi"/>
                <w:bCs/>
                <w:color w:val="000000"/>
                <w:sz w:val="20"/>
                <w:szCs w:val="20"/>
              </w:rPr>
              <w:t>Preventing d</w:t>
            </w:r>
            <w:r w:rsidRPr="00A6504D">
              <w:rPr>
                <w:rFonts w:cstheme="minorHAnsi"/>
                <w:bCs/>
                <w:color w:val="000000"/>
                <w:sz w:val="20"/>
                <w:szCs w:val="20"/>
              </w:rPr>
              <w:t xml:space="preserve">isease through </w:t>
            </w:r>
            <w:r w:rsidR="00CE150A">
              <w:rPr>
                <w:rFonts w:cstheme="minorHAnsi"/>
                <w:bCs/>
                <w:color w:val="000000"/>
                <w:sz w:val="20"/>
                <w:szCs w:val="20"/>
              </w:rPr>
              <w:t xml:space="preserve">healthy environments: </w:t>
            </w:r>
            <w:r w:rsidRPr="00A6504D">
              <w:rPr>
                <w:rFonts w:cstheme="minorHAnsi"/>
                <w:bCs/>
                <w:color w:val="000000"/>
                <w:sz w:val="20"/>
                <w:szCs w:val="20"/>
              </w:rPr>
              <w:t xml:space="preserve">Exposure to </w:t>
            </w:r>
            <w:r w:rsidR="00CE150A">
              <w:rPr>
                <w:rFonts w:cstheme="minorHAnsi"/>
                <w:bCs/>
                <w:color w:val="000000"/>
                <w:sz w:val="20"/>
                <w:szCs w:val="20"/>
              </w:rPr>
              <w:t>a</w:t>
            </w:r>
            <w:r w:rsidRPr="00A6504D">
              <w:rPr>
                <w:rFonts w:cstheme="minorHAnsi"/>
                <w:bCs/>
                <w:color w:val="000000"/>
                <w:sz w:val="20"/>
                <w:szCs w:val="20"/>
              </w:rPr>
              <w:t xml:space="preserve">rsenic: A </w:t>
            </w:r>
            <w:r w:rsidR="00CE150A">
              <w:rPr>
                <w:rFonts w:cstheme="minorHAnsi"/>
                <w:bCs/>
                <w:color w:val="000000"/>
                <w:sz w:val="20"/>
                <w:szCs w:val="20"/>
              </w:rPr>
              <w:t>major public h</w:t>
            </w:r>
            <w:r w:rsidRPr="00A6504D">
              <w:rPr>
                <w:rFonts w:cstheme="minorHAnsi"/>
                <w:bCs/>
                <w:color w:val="000000"/>
                <w:sz w:val="20"/>
                <w:szCs w:val="20"/>
              </w:rPr>
              <w:t xml:space="preserve">ealth </w:t>
            </w:r>
            <w:r w:rsidR="00CE150A">
              <w:rPr>
                <w:rFonts w:cstheme="minorHAnsi"/>
                <w:bCs/>
                <w:color w:val="000000"/>
                <w:sz w:val="20"/>
                <w:szCs w:val="20"/>
              </w:rPr>
              <w:t>c</w:t>
            </w:r>
            <w:r w:rsidRPr="00A6504D">
              <w:rPr>
                <w:rFonts w:cstheme="minorHAnsi"/>
                <w:bCs/>
                <w:color w:val="000000"/>
                <w:sz w:val="20"/>
                <w:szCs w:val="20"/>
              </w:rPr>
              <w:t xml:space="preserve">oncern. Available at </w:t>
            </w:r>
            <w:hyperlink r:id="rId10" w:history="1">
              <w:r w:rsidR="00CE150A">
                <w:rPr>
                  <w:rStyle w:val="Hyperlink"/>
                  <w:rFonts w:cstheme="minorHAnsi"/>
                  <w:bCs/>
                  <w:sz w:val="20"/>
                  <w:szCs w:val="20"/>
                </w:rPr>
                <w:t>apps.who.int/iris/bitstream/handle/10665/329482/WHO-CED-PHE-EPE-19.4.1-eng.pdf?ua=1</w:t>
              </w:r>
            </w:hyperlink>
            <w:r w:rsidR="00CE150A" w:rsidRPr="00CE150A">
              <w:rPr>
                <w:rStyle w:val="Hyperlink"/>
                <w:rFonts w:cstheme="minorHAnsi"/>
                <w:bCs/>
                <w:color w:val="000000" w:themeColor="text1"/>
                <w:sz w:val="20"/>
                <w:szCs w:val="20"/>
                <w:u w:val="none"/>
              </w:rPr>
              <w:t>.</w:t>
            </w:r>
            <w:r w:rsidRPr="00A6504D">
              <w:rPr>
                <w:rFonts w:cstheme="minorHAnsi"/>
                <w:bCs/>
                <w:color w:val="000000"/>
                <w:sz w:val="20"/>
                <w:szCs w:val="20"/>
              </w:rPr>
              <w:t xml:space="preserve"> Accessed 2</w:t>
            </w:r>
            <w:r w:rsidR="00CE150A">
              <w:rPr>
                <w:rFonts w:cstheme="minorHAnsi"/>
                <w:bCs/>
                <w:color w:val="000000"/>
                <w:sz w:val="20"/>
                <w:szCs w:val="20"/>
              </w:rPr>
              <w:t>1</w:t>
            </w:r>
            <w:r w:rsidRPr="00A6504D">
              <w:rPr>
                <w:rFonts w:cstheme="minorHAnsi"/>
                <w:bCs/>
                <w:color w:val="000000"/>
                <w:sz w:val="20"/>
                <w:szCs w:val="20"/>
              </w:rPr>
              <w:t xml:space="preserve"> November 2019.</w:t>
            </w:r>
          </w:p>
        </w:tc>
      </w:tr>
      <w:tr w:rsidR="009F69D4" w:rsidRPr="0062205C" w14:paraId="48199F46" w14:textId="77777777" w:rsidTr="00CE150A">
        <w:trPr>
          <w:trHeight w:val="1495"/>
        </w:trPr>
        <w:tc>
          <w:tcPr>
            <w:tcW w:w="9016" w:type="dxa"/>
          </w:tcPr>
          <w:p w14:paraId="6794A809" w14:textId="77777777" w:rsidR="00037C7C" w:rsidRDefault="002922A3" w:rsidP="00A6504D">
            <w:pPr>
              <w:spacing w:after="0" w:line="240" w:lineRule="auto"/>
              <w:rPr>
                <w:rFonts w:cstheme="minorHAnsi"/>
                <w:b/>
                <w:sz w:val="20"/>
                <w:szCs w:val="20"/>
                <w:lang w:val="en-US"/>
              </w:rPr>
            </w:pPr>
            <w:r w:rsidRPr="00A6504D">
              <w:rPr>
                <w:rFonts w:cstheme="minorHAnsi"/>
                <w:b/>
                <w:sz w:val="20"/>
                <w:szCs w:val="20"/>
                <w:lang w:val="en-US"/>
              </w:rPr>
              <w:t>ANNOTATIONS</w:t>
            </w:r>
            <w:r w:rsidR="00B43DDF" w:rsidRPr="00A6504D">
              <w:rPr>
                <w:rFonts w:cstheme="minorHAnsi"/>
                <w:b/>
                <w:sz w:val="20"/>
                <w:szCs w:val="20"/>
                <w:lang w:val="en-US"/>
              </w:rPr>
              <w:t>:</w:t>
            </w:r>
          </w:p>
          <w:p w14:paraId="4CFF4333" w14:textId="77777777" w:rsidR="00354B09" w:rsidRPr="00A6504D" w:rsidRDefault="00354B09" w:rsidP="00A6504D">
            <w:pPr>
              <w:spacing w:after="0" w:line="240" w:lineRule="auto"/>
              <w:rPr>
                <w:rFonts w:cstheme="minorHAnsi"/>
                <w:b/>
                <w:sz w:val="20"/>
                <w:szCs w:val="20"/>
                <w:lang w:val="en-US"/>
              </w:rPr>
            </w:pPr>
          </w:p>
          <w:p w14:paraId="77C1E4E0" w14:textId="77777777" w:rsidR="00354B09" w:rsidRPr="00881A7C" w:rsidRDefault="00037C7C" w:rsidP="00354B09">
            <w:pPr>
              <w:rPr>
                <w:rFonts w:cstheme="minorHAnsi"/>
                <w:sz w:val="20"/>
                <w:szCs w:val="20"/>
              </w:rPr>
            </w:pPr>
            <w:r w:rsidRPr="00A6504D">
              <w:rPr>
                <w:rFonts w:cstheme="minorHAnsi"/>
                <w:b/>
                <w:sz w:val="20"/>
                <w:szCs w:val="20"/>
                <w:lang w:val="en-US"/>
              </w:rPr>
              <w:t>Synonym(s):</w:t>
            </w:r>
            <w:r w:rsidR="00354B09">
              <w:rPr>
                <w:rFonts w:cstheme="minorHAnsi"/>
                <w:b/>
                <w:sz w:val="20"/>
                <w:szCs w:val="20"/>
                <w:lang w:val="en-US"/>
              </w:rPr>
              <w:t xml:space="preserve"> </w:t>
            </w:r>
            <w:r w:rsidR="00A277B4">
              <w:rPr>
                <w:rFonts w:cstheme="minorHAnsi"/>
                <w:b/>
                <w:sz w:val="20"/>
                <w:szCs w:val="20"/>
                <w:lang w:val="en-US"/>
              </w:rPr>
              <w:t>N/A</w:t>
            </w:r>
          </w:p>
          <w:p w14:paraId="64764E0C" w14:textId="77777777" w:rsidR="002922A3" w:rsidRPr="00A6504D" w:rsidRDefault="002922A3" w:rsidP="00A6504D">
            <w:pPr>
              <w:spacing w:after="0" w:line="240" w:lineRule="auto"/>
              <w:rPr>
                <w:rFonts w:cstheme="minorHAnsi"/>
                <w:b/>
                <w:sz w:val="20"/>
                <w:szCs w:val="20"/>
                <w:lang w:val="en-US"/>
              </w:rPr>
            </w:pPr>
            <w:r w:rsidRPr="00A6504D">
              <w:rPr>
                <w:rFonts w:cstheme="minorHAnsi"/>
                <w:b/>
                <w:sz w:val="20"/>
                <w:szCs w:val="20"/>
                <w:lang w:val="en-US"/>
              </w:rPr>
              <w:t>Additional scientific description:</w:t>
            </w:r>
          </w:p>
          <w:p w14:paraId="299D191F" w14:textId="77777777" w:rsidR="00A6504D" w:rsidRPr="00A6504D" w:rsidRDefault="00A6504D" w:rsidP="00A6504D">
            <w:pPr>
              <w:pStyle w:val="Default"/>
              <w:rPr>
                <w:rFonts w:asciiTheme="minorHAnsi" w:hAnsiTheme="minorHAnsi" w:cstheme="minorHAnsi"/>
                <w:sz w:val="20"/>
                <w:szCs w:val="20"/>
              </w:rPr>
            </w:pPr>
            <w:r w:rsidRPr="00A6504D">
              <w:rPr>
                <w:rFonts w:asciiTheme="minorHAnsi" w:hAnsiTheme="minorHAnsi" w:cstheme="minorHAnsi"/>
                <w:sz w:val="20"/>
                <w:szCs w:val="20"/>
              </w:rPr>
              <w:t xml:space="preserve">Arsenic </w:t>
            </w:r>
            <w:r w:rsidR="00800A81">
              <w:rPr>
                <w:rFonts w:asciiTheme="minorHAnsi" w:hAnsiTheme="minorHAnsi" w:cstheme="minorHAnsi"/>
                <w:sz w:val="20"/>
                <w:szCs w:val="20"/>
              </w:rPr>
              <w:t>(s</w:t>
            </w:r>
            <w:r w:rsidR="00800A81" w:rsidRPr="00881A7C">
              <w:rPr>
                <w:rFonts w:cstheme="minorHAnsi"/>
                <w:sz w:val="20"/>
                <w:szCs w:val="20"/>
              </w:rPr>
              <w:t>ymbol As, atomic number 33</w:t>
            </w:r>
            <w:r w:rsidR="00800A81">
              <w:rPr>
                <w:rFonts w:cstheme="minorHAnsi"/>
                <w:sz w:val="20"/>
                <w:szCs w:val="20"/>
              </w:rPr>
              <w:t>)</w:t>
            </w:r>
            <w:r w:rsidR="00800A81" w:rsidRPr="00881A7C">
              <w:rPr>
                <w:rFonts w:cstheme="minorHAnsi"/>
                <w:sz w:val="20"/>
                <w:szCs w:val="20"/>
              </w:rPr>
              <w:t xml:space="preserve"> </w:t>
            </w:r>
            <w:r w:rsidRPr="00A6504D">
              <w:rPr>
                <w:rFonts w:asciiTheme="minorHAnsi" w:hAnsiTheme="minorHAnsi" w:cstheme="minorHAnsi"/>
                <w:sz w:val="20"/>
                <w:szCs w:val="20"/>
              </w:rPr>
              <w:t xml:space="preserve">can be released into the atmosphere and water in the following ways: </w:t>
            </w:r>
          </w:p>
          <w:p w14:paraId="0AD99048" w14:textId="77777777" w:rsidR="00A6504D" w:rsidRPr="00A6504D" w:rsidRDefault="00A6504D" w:rsidP="00B01BE3">
            <w:pPr>
              <w:pStyle w:val="Default"/>
              <w:numPr>
                <w:ilvl w:val="0"/>
                <w:numId w:val="10"/>
              </w:numPr>
              <w:rPr>
                <w:rFonts w:asciiTheme="minorHAnsi" w:hAnsiTheme="minorHAnsi" w:cstheme="minorHAnsi"/>
                <w:sz w:val="20"/>
                <w:szCs w:val="20"/>
              </w:rPr>
            </w:pPr>
            <w:r w:rsidRPr="00A6504D">
              <w:rPr>
                <w:rFonts w:asciiTheme="minorHAnsi" w:hAnsiTheme="minorHAnsi" w:cstheme="minorHAnsi"/>
                <w:sz w:val="20"/>
                <w:szCs w:val="20"/>
              </w:rPr>
              <w:t xml:space="preserve">natural activities, such as volcanic activity, dissolution or desorption of minerals (particularly into groundwater), exudates from vegetation and wind-blown dusts; </w:t>
            </w:r>
          </w:p>
          <w:p w14:paraId="5780E1B6" w14:textId="77777777" w:rsidR="00A6504D" w:rsidRPr="00A6504D" w:rsidRDefault="00A6504D" w:rsidP="00B01BE3">
            <w:pPr>
              <w:pStyle w:val="Default"/>
              <w:numPr>
                <w:ilvl w:val="0"/>
                <w:numId w:val="10"/>
              </w:numPr>
              <w:rPr>
                <w:rFonts w:asciiTheme="minorHAnsi" w:hAnsiTheme="minorHAnsi" w:cstheme="minorHAnsi"/>
                <w:sz w:val="20"/>
                <w:szCs w:val="20"/>
              </w:rPr>
            </w:pPr>
            <w:r w:rsidRPr="00A6504D">
              <w:rPr>
                <w:rFonts w:asciiTheme="minorHAnsi" w:hAnsiTheme="minorHAnsi" w:cstheme="minorHAnsi"/>
                <w:sz w:val="20"/>
                <w:szCs w:val="20"/>
              </w:rPr>
              <w:t xml:space="preserve">human activities, such as metal smelting, combustion of fossil fuels (especially coal), mining, timber treatment with preservatives, and, historically, agricultural pesticide production and use; </w:t>
            </w:r>
          </w:p>
          <w:p w14:paraId="065FEEDE" w14:textId="77777777" w:rsidR="00A6504D" w:rsidRPr="00A6504D" w:rsidRDefault="00A6504D" w:rsidP="00B01BE3">
            <w:pPr>
              <w:pStyle w:val="Default"/>
              <w:numPr>
                <w:ilvl w:val="0"/>
                <w:numId w:val="10"/>
              </w:numPr>
              <w:rPr>
                <w:rFonts w:asciiTheme="minorHAnsi" w:hAnsiTheme="minorHAnsi" w:cstheme="minorHAnsi"/>
                <w:sz w:val="20"/>
                <w:szCs w:val="20"/>
              </w:rPr>
            </w:pPr>
            <w:r w:rsidRPr="00A6504D">
              <w:rPr>
                <w:rFonts w:asciiTheme="minorHAnsi" w:hAnsiTheme="minorHAnsi" w:cstheme="minorHAnsi"/>
                <w:sz w:val="20"/>
                <w:szCs w:val="20"/>
              </w:rPr>
              <w:t xml:space="preserve">remobilization of historic sources, such as mine drainage water; and </w:t>
            </w:r>
          </w:p>
          <w:p w14:paraId="295B75C5" w14:textId="77777777" w:rsidR="00A6504D" w:rsidRDefault="00A6504D" w:rsidP="00B01BE3">
            <w:pPr>
              <w:pStyle w:val="Default"/>
              <w:numPr>
                <w:ilvl w:val="0"/>
                <w:numId w:val="10"/>
              </w:numPr>
              <w:rPr>
                <w:rFonts w:asciiTheme="minorHAnsi" w:hAnsiTheme="minorHAnsi" w:cstheme="minorHAnsi"/>
                <w:sz w:val="20"/>
                <w:szCs w:val="20"/>
              </w:rPr>
            </w:pPr>
            <w:r w:rsidRPr="00A6504D">
              <w:rPr>
                <w:rFonts w:asciiTheme="minorHAnsi" w:hAnsiTheme="minorHAnsi" w:cstheme="minorHAnsi"/>
                <w:sz w:val="20"/>
                <w:szCs w:val="20"/>
              </w:rPr>
              <w:t xml:space="preserve">mobilization into drinking-water from geological deposits by drilling of tube wells </w:t>
            </w:r>
            <w:r>
              <w:rPr>
                <w:rFonts w:asciiTheme="minorHAnsi" w:hAnsiTheme="minorHAnsi" w:cstheme="minorHAnsi"/>
                <w:sz w:val="20"/>
                <w:szCs w:val="20"/>
              </w:rPr>
              <w:t>(</w:t>
            </w:r>
            <w:r w:rsidR="00CE150A">
              <w:rPr>
                <w:rFonts w:asciiTheme="minorHAnsi" w:hAnsiTheme="minorHAnsi" w:cstheme="minorHAnsi"/>
                <w:sz w:val="20"/>
                <w:szCs w:val="20"/>
              </w:rPr>
              <w:t>World Health Organization</w:t>
            </w:r>
            <w:r>
              <w:rPr>
                <w:rFonts w:asciiTheme="minorHAnsi" w:hAnsiTheme="minorHAnsi" w:cstheme="minorHAnsi"/>
                <w:sz w:val="20"/>
                <w:szCs w:val="20"/>
              </w:rPr>
              <w:t xml:space="preserve"> 2019)</w:t>
            </w:r>
            <w:r w:rsidR="00CE150A">
              <w:rPr>
                <w:rFonts w:asciiTheme="minorHAnsi" w:hAnsiTheme="minorHAnsi" w:cstheme="minorHAnsi"/>
                <w:sz w:val="20"/>
                <w:szCs w:val="20"/>
              </w:rPr>
              <w:t>.</w:t>
            </w:r>
          </w:p>
          <w:p w14:paraId="34C1C61B" w14:textId="77777777" w:rsidR="00A6504D" w:rsidRPr="00A6504D" w:rsidRDefault="00A6504D" w:rsidP="00A6504D">
            <w:pPr>
              <w:pStyle w:val="Default"/>
              <w:ind w:left="306"/>
              <w:rPr>
                <w:rFonts w:asciiTheme="minorHAnsi" w:hAnsiTheme="minorHAnsi" w:cstheme="minorHAnsi"/>
                <w:sz w:val="20"/>
                <w:szCs w:val="20"/>
              </w:rPr>
            </w:pPr>
          </w:p>
          <w:p w14:paraId="08D9D4DA" w14:textId="77777777" w:rsidR="00E944E7" w:rsidRPr="00A6504D" w:rsidRDefault="00E944E7" w:rsidP="00A6504D">
            <w:pPr>
              <w:pStyle w:val="Default"/>
              <w:rPr>
                <w:rFonts w:asciiTheme="minorHAnsi" w:hAnsiTheme="minorHAnsi" w:cstheme="minorHAnsi"/>
                <w:sz w:val="20"/>
                <w:szCs w:val="20"/>
              </w:rPr>
            </w:pPr>
            <w:r w:rsidRPr="00A6504D">
              <w:rPr>
                <w:rFonts w:asciiTheme="minorHAnsi" w:hAnsiTheme="minorHAnsi" w:cstheme="minorHAnsi"/>
                <w:sz w:val="20"/>
                <w:szCs w:val="20"/>
              </w:rPr>
              <w:t xml:space="preserve">In water, arsenic occurs in one of two main forms: </w:t>
            </w:r>
            <w:proofErr w:type="spellStart"/>
            <w:r w:rsidRPr="00A6504D">
              <w:rPr>
                <w:rFonts w:asciiTheme="minorHAnsi" w:hAnsiTheme="minorHAnsi" w:cstheme="minorHAnsi"/>
                <w:sz w:val="20"/>
                <w:szCs w:val="20"/>
              </w:rPr>
              <w:t>arsenite</w:t>
            </w:r>
            <w:proofErr w:type="spellEnd"/>
            <w:r w:rsidRPr="00A6504D">
              <w:rPr>
                <w:rFonts w:asciiTheme="minorHAnsi" w:hAnsiTheme="minorHAnsi" w:cstheme="minorHAnsi"/>
                <w:sz w:val="20"/>
                <w:szCs w:val="20"/>
              </w:rPr>
              <w:t xml:space="preserve"> </w:t>
            </w:r>
            <w:proofErr w:type="gramStart"/>
            <w:r w:rsidRPr="00A6504D">
              <w:rPr>
                <w:rFonts w:asciiTheme="minorHAnsi" w:hAnsiTheme="minorHAnsi" w:cstheme="minorHAnsi"/>
                <w:sz w:val="20"/>
                <w:szCs w:val="20"/>
              </w:rPr>
              <w:t>As(</w:t>
            </w:r>
            <w:proofErr w:type="gramEnd"/>
            <w:r w:rsidRPr="00A6504D">
              <w:rPr>
                <w:rFonts w:asciiTheme="minorHAnsi" w:hAnsiTheme="minorHAnsi" w:cstheme="minorHAnsi"/>
                <w:sz w:val="20"/>
                <w:szCs w:val="20"/>
              </w:rPr>
              <w:t xml:space="preserve">III) under reducing conditions and arsenate As(V) if the water is oxygenated. It can be released to the atmosphere, primarily as the trioxide, mainly by high-temperature processes or through volatilization from aerated soils. In the atmosphere, it is mainly adsorbed on particles, which are dispersed by winds and deposited on land and water </w:t>
            </w:r>
            <w:r w:rsidR="00A6504D">
              <w:rPr>
                <w:rFonts w:asciiTheme="minorHAnsi" w:hAnsiTheme="minorHAnsi" w:cstheme="minorHAnsi"/>
                <w:sz w:val="20"/>
                <w:szCs w:val="20"/>
              </w:rPr>
              <w:t>(W</w:t>
            </w:r>
            <w:r w:rsidR="00CE150A">
              <w:rPr>
                <w:rFonts w:asciiTheme="minorHAnsi" w:hAnsiTheme="minorHAnsi" w:cstheme="minorHAnsi"/>
                <w:sz w:val="20"/>
                <w:szCs w:val="20"/>
              </w:rPr>
              <w:t>orld Health Organization</w:t>
            </w:r>
            <w:r w:rsidR="00A6504D">
              <w:rPr>
                <w:rFonts w:asciiTheme="minorHAnsi" w:hAnsiTheme="minorHAnsi" w:cstheme="minorHAnsi"/>
                <w:sz w:val="20"/>
                <w:szCs w:val="20"/>
              </w:rPr>
              <w:t xml:space="preserve"> 2019)</w:t>
            </w:r>
            <w:r w:rsidR="00CE150A">
              <w:rPr>
                <w:rFonts w:asciiTheme="minorHAnsi" w:hAnsiTheme="minorHAnsi" w:cstheme="minorHAnsi"/>
                <w:sz w:val="20"/>
                <w:szCs w:val="20"/>
              </w:rPr>
              <w:t>.</w:t>
            </w:r>
          </w:p>
          <w:p w14:paraId="27C756E9" w14:textId="77777777" w:rsidR="00E944E7" w:rsidRPr="00A6504D" w:rsidRDefault="00E944E7" w:rsidP="00A6504D">
            <w:pPr>
              <w:pStyle w:val="Default"/>
              <w:rPr>
                <w:rFonts w:asciiTheme="minorHAnsi" w:hAnsiTheme="minorHAnsi" w:cstheme="minorHAnsi"/>
                <w:sz w:val="20"/>
                <w:szCs w:val="20"/>
              </w:rPr>
            </w:pPr>
          </w:p>
          <w:p w14:paraId="255DE676" w14:textId="77777777" w:rsidR="00E944E7" w:rsidRPr="00A6504D" w:rsidRDefault="00E944E7" w:rsidP="00A6504D">
            <w:pPr>
              <w:pStyle w:val="Default"/>
              <w:rPr>
                <w:rFonts w:asciiTheme="minorHAnsi" w:hAnsiTheme="minorHAnsi" w:cstheme="minorHAnsi"/>
                <w:sz w:val="20"/>
                <w:szCs w:val="20"/>
              </w:rPr>
            </w:pPr>
            <w:r w:rsidRPr="00A6504D">
              <w:rPr>
                <w:rFonts w:asciiTheme="minorHAnsi" w:hAnsiTheme="minorHAnsi" w:cstheme="minorHAnsi"/>
                <w:sz w:val="20"/>
                <w:szCs w:val="20"/>
              </w:rPr>
              <w:t>Soluble inorganic arsenic is highly acutely toxic. Intake of inorganic arsenic over a long period can lead to chronic arsenic poisoning (</w:t>
            </w:r>
            <w:proofErr w:type="spellStart"/>
            <w:r w:rsidRPr="00A6504D">
              <w:rPr>
                <w:rFonts w:asciiTheme="minorHAnsi" w:hAnsiTheme="minorHAnsi" w:cstheme="minorHAnsi"/>
                <w:sz w:val="20"/>
                <w:szCs w:val="20"/>
              </w:rPr>
              <w:t>arsenicosis</w:t>
            </w:r>
            <w:proofErr w:type="spellEnd"/>
            <w:r w:rsidRPr="00A6504D">
              <w:rPr>
                <w:rFonts w:asciiTheme="minorHAnsi" w:hAnsiTheme="minorHAnsi" w:cstheme="minorHAnsi"/>
                <w:sz w:val="20"/>
                <w:szCs w:val="20"/>
              </w:rPr>
              <w:t>). Effects, which can take years to develop depending on the level of exposure, include skin lesions, peripheral neuropathy, gastrointestinal symptoms, diabetes, cardiovascular disease, developmental toxicity, and cancer of the skin and internal organs</w:t>
            </w:r>
            <w:r w:rsidR="00800A81">
              <w:rPr>
                <w:rFonts w:asciiTheme="minorHAnsi" w:hAnsiTheme="minorHAnsi" w:cstheme="minorHAnsi"/>
                <w:sz w:val="20"/>
                <w:szCs w:val="20"/>
              </w:rPr>
              <w:t xml:space="preserve"> (</w:t>
            </w:r>
            <w:proofErr w:type="gramStart"/>
            <w:r w:rsidR="00800A81">
              <w:rPr>
                <w:rFonts w:asciiTheme="minorHAnsi" w:hAnsiTheme="minorHAnsi" w:cstheme="minorHAnsi"/>
                <w:sz w:val="20"/>
                <w:szCs w:val="20"/>
              </w:rPr>
              <w:t xml:space="preserve">IARC </w:t>
            </w:r>
            <w:r w:rsidRPr="00A6504D">
              <w:rPr>
                <w:rFonts w:asciiTheme="minorHAnsi" w:hAnsiTheme="minorHAnsi" w:cstheme="minorHAnsi"/>
                <w:sz w:val="20"/>
                <w:szCs w:val="20"/>
              </w:rPr>
              <w:t>.</w:t>
            </w:r>
            <w:proofErr w:type="gramEnd"/>
            <w:r w:rsidRPr="00A6504D">
              <w:rPr>
                <w:rFonts w:asciiTheme="minorHAnsi" w:hAnsiTheme="minorHAnsi" w:cstheme="minorHAnsi"/>
                <w:sz w:val="20"/>
                <w:szCs w:val="20"/>
              </w:rPr>
              <w:t xml:space="preserve"> Organic arsenic compounds, which are abundant in seafood, are less harmful to health and are rapidly eliminated by the body.</w:t>
            </w:r>
          </w:p>
          <w:p w14:paraId="1E5F1117" w14:textId="77777777" w:rsidR="00800A81" w:rsidRDefault="00800A81" w:rsidP="00A6504D">
            <w:pPr>
              <w:spacing w:after="0" w:line="240" w:lineRule="auto"/>
              <w:rPr>
                <w:rFonts w:cstheme="minorHAnsi"/>
                <w:sz w:val="20"/>
                <w:szCs w:val="20"/>
              </w:rPr>
            </w:pPr>
          </w:p>
          <w:p w14:paraId="401F5920" w14:textId="77777777" w:rsidR="002922A3" w:rsidRPr="00A6504D" w:rsidRDefault="00E944E7" w:rsidP="00A277B4">
            <w:pPr>
              <w:pStyle w:val="CommentText"/>
              <w:rPr>
                <w:rFonts w:cstheme="minorHAnsi"/>
                <w:b/>
                <w:lang w:val="en-US"/>
              </w:rPr>
            </w:pPr>
            <w:r w:rsidRPr="00A6504D">
              <w:rPr>
                <w:rFonts w:cstheme="minorHAnsi"/>
              </w:rPr>
              <w:t>Human exposure</w:t>
            </w:r>
            <w:r w:rsidR="00A277B4">
              <w:t xml:space="preserve"> to arsenic and arsenic compounds can occur through environmental or occupational routes. Human exposure </w:t>
            </w:r>
            <w:r w:rsidRPr="00A6504D">
              <w:rPr>
                <w:rFonts w:cstheme="minorHAnsi"/>
              </w:rPr>
              <w:t>to elevated levels of inorganic arsenic occurs mainly through the consumption of groundwater containing naturally high levels of inorganic arsenic, food prepared with this water, and food crops irrigated with high-arsenic water sources. Public health actions need to be continued to reduce human exposure to arsenic, particularly in areas with naturally high levels in groundwater</w:t>
            </w:r>
            <w:r w:rsidR="00B01BE3">
              <w:rPr>
                <w:rFonts w:cstheme="minorHAnsi"/>
              </w:rPr>
              <w:t xml:space="preserve"> </w:t>
            </w:r>
            <w:r w:rsidR="00A6504D">
              <w:rPr>
                <w:rFonts w:cstheme="minorHAnsi"/>
              </w:rPr>
              <w:t>(</w:t>
            </w:r>
            <w:r w:rsidR="00CE150A">
              <w:rPr>
                <w:rFonts w:cstheme="minorHAnsi"/>
              </w:rPr>
              <w:t>World Health Organization</w:t>
            </w:r>
            <w:r w:rsidR="00A6504D">
              <w:rPr>
                <w:rFonts w:cstheme="minorHAnsi"/>
              </w:rPr>
              <w:t xml:space="preserve"> 2019)</w:t>
            </w:r>
            <w:r w:rsidR="00B01BE3">
              <w:rPr>
                <w:rFonts w:cstheme="minorHAnsi"/>
              </w:rPr>
              <w:t>.</w:t>
            </w:r>
          </w:p>
          <w:p w14:paraId="0DAAFC31" w14:textId="77777777" w:rsidR="00A6504D" w:rsidRDefault="00A6504D" w:rsidP="00A6504D">
            <w:pPr>
              <w:pStyle w:val="Default"/>
              <w:rPr>
                <w:rFonts w:asciiTheme="minorHAnsi" w:hAnsiTheme="minorHAnsi" w:cstheme="minorHAnsi"/>
                <w:b/>
                <w:sz w:val="20"/>
                <w:szCs w:val="20"/>
              </w:rPr>
            </w:pPr>
          </w:p>
          <w:p w14:paraId="739995ED" w14:textId="77777777" w:rsidR="00B01BE3" w:rsidRDefault="002922A3" w:rsidP="00B01BE3">
            <w:pPr>
              <w:pStyle w:val="Default"/>
              <w:rPr>
                <w:rFonts w:asciiTheme="minorHAnsi" w:hAnsiTheme="minorHAnsi" w:cstheme="minorHAnsi"/>
                <w:b/>
                <w:sz w:val="20"/>
                <w:szCs w:val="20"/>
              </w:rPr>
            </w:pPr>
            <w:r w:rsidRPr="00A6504D">
              <w:rPr>
                <w:rFonts w:asciiTheme="minorHAnsi" w:hAnsiTheme="minorHAnsi" w:cstheme="minorHAnsi"/>
                <w:b/>
                <w:sz w:val="20"/>
                <w:szCs w:val="20"/>
              </w:rPr>
              <w:t>Metrics and numeric limits:</w:t>
            </w:r>
            <w:r w:rsidR="00BE08D7" w:rsidRPr="00A6504D">
              <w:rPr>
                <w:rFonts w:asciiTheme="minorHAnsi" w:hAnsiTheme="minorHAnsi" w:cstheme="minorHAnsi"/>
                <w:b/>
                <w:sz w:val="20"/>
                <w:szCs w:val="20"/>
              </w:rPr>
              <w:t xml:space="preserve"> </w:t>
            </w:r>
          </w:p>
          <w:p w14:paraId="661992CA" w14:textId="77777777" w:rsidR="00B01BE3" w:rsidRPr="00B01BE3" w:rsidRDefault="00B01BE3" w:rsidP="00B01BE3">
            <w:pPr>
              <w:pStyle w:val="Default"/>
              <w:rPr>
                <w:rFonts w:asciiTheme="minorHAnsi" w:hAnsiTheme="minorHAnsi" w:cstheme="minorHAnsi"/>
                <w:b/>
                <w:sz w:val="20"/>
                <w:szCs w:val="20"/>
              </w:rPr>
            </w:pPr>
            <w:r w:rsidRPr="00B01BE3">
              <w:rPr>
                <w:rFonts w:asciiTheme="minorHAnsi" w:hAnsiTheme="minorHAnsi" w:cstheme="minorHAnsi"/>
                <w:sz w:val="20"/>
                <w:szCs w:val="20"/>
              </w:rPr>
              <w:t>In 2002,</w:t>
            </w:r>
            <w:r>
              <w:rPr>
                <w:rFonts w:asciiTheme="minorHAnsi" w:hAnsiTheme="minorHAnsi" w:cstheme="minorHAnsi"/>
                <w:sz w:val="20"/>
                <w:szCs w:val="20"/>
              </w:rPr>
              <w:t xml:space="preserve"> WHO (2019) reported that </w:t>
            </w:r>
            <w:r w:rsidRPr="00B01BE3">
              <w:rPr>
                <w:rFonts w:asciiTheme="minorHAnsi" w:hAnsiTheme="minorHAnsi" w:cstheme="minorHAnsi"/>
                <w:sz w:val="20"/>
                <w:szCs w:val="20"/>
              </w:rPr>
              <w:t xml:space="preserve"> it was estimated that at least 140 million people in 50 countries have been drinking water containing arsenic at levels above the WHO provisional guideline value of 10 </w:t>
            </w:r>
            <w:proofErr w:type="spellStart"/>
            <w:r w:rsidRPr="00B01BE3">
              <w:rPr>
                <w:rFonts w:asciiTheme="minorHAnsi" w:hAnsiTheme="minorHAnsi" w:cstheme="minorHAnsi"/>
                <w:sz w:val="20"/>
                <w:szCs w:val="20"/>
              </w:rPr>
              <w:t>μg</w:t>
            </w:r>
            <w:proofErr w:type="spellEnd"/>
            <w:r w:rsidRPr="00B01BE3">
              <w:rPr>
                <w:rFonts w:asciiTheme="minorHAnsi" w:hAnsiTheme="minorHAnsi" w:cstheme="minorHAnsi"/>
                <w:sz w:val="20"/>
                <w:szCs w:val="20"/>
              </w:rPr>
              <w:t xml:space="preserve">/L.3 Inorganic arsenic is naturally present at high levels in the groundwater of a number of countries, such as Argentina, Chile, China, India (West Bengal), Mexico, the United States of America, and particularly Bangladesh, where it was estimated that in 2012 approximately 19 million people were exposed to drinking-water concentrations above the national standard of 50 </w:t>
            </w:r>
            <w:proofErr w:type="spellStart"/>
            <w:r w:rsidRPr="00B01BE3">
              <w:rPr>
                <w:rFonts w:asciiTheme="minorHAnsi" w:hAnsiTheme="minorHAnsi" w:cstheme="minorHAnsi"/>
                <w:sz w:val="20"/>
                <w:szCs w:val="20"/>
              </w:rPr>
              <w:t>μg</w:t>
            </w:r>
            <w:proofErr w:type="spellEnd"/>
            <w:r w:rsidRPr="00B01BE3">
              <w:rPr>
                <w:rFonts w:asciiTheme="minorHAnsi" w:hAnsiTheme="minorHAnsi" w:cstheme="minorHAnsi"/>
                <w:sz w:val="20"/>
                <w:szCs w:val="20"/>
              </w:rPr>
              <w:t xml:space="preserve">/L and 39 million people were drinking water with levels of arsenic above 10 </w:t>
            </w:r>
            <w:proofErr w:type="spellStart"/>
            <w:r w:rsidRPr="00B01BE3">
              <w:rPr>
                <w:rFonts w:asciiTheme="minorHAnsi" w:hAnsiTheme="minorHAnsi" w:cstheme="minorHAnsi"/>
                <w:sz w:val="20"/>
                <w:szCs w:val="20"/>
              </w:rPr>
              <w:t>μg</w:t>
            </w:r>
            <w:proofErr w:type="spellEnd"/>
            <w:r w:rsidRPr="00B01BE3">
              <w:rPr>
                <w:rFonts w:asciiTheme="minorHAnsi" w:hAnsiTheme="minorHAnsi" w:cstheme="minorHAnsi"/>
                <w:sz w:val="20"/>
                <w:szCs w:val="20"/>
              </w:rPr>
              <w:t xml:space="preserve">/L.4 In 2010, 21.4% of all deaths in a highly affected area of Bangladesh were attributed to arsenic levels of above 10 </w:t>
            </w:r>
            <w:proofErr w:type="spellStart"/>
            <w:r w:rsidRPr="00B01BE3">
              <w:rPr>
                <w:rFonts w:asciiTheme="minorHAnsi" w:hAnsiTheme="minorHAnsi" w:cstheme="minorHAnsi"/>
                <w:sz w:val="20"/>
                <w:szCs w:val="20"/>
              </w:rPr>
              <w:t>μg</w:t>
            </w:r>
            <w:proofErr w:type="spellEnd"/>
            <w:r w:rsidRPr="00B01BE3">
              <w:rPr>
                <w:rFonts w:asciiTheme="minorHAnsi" w:hAnsiTheme="minorHAnsi" w:cstheme="minorHAnsi"/>
                <w:sz w:val="20"/>
                <w:szCs w:val="20"/>
              </w:rPr>
              <w:t>/L in drinking-water,5 while another analysis published in 2012 for all districts indicated an annual total of nearly 43 000 deaths (about 5.6% of all deaths) attributable to chronic arsenic exposure</w:t>
            </w:r>
            <w:r w:rsidR="00CE150A">
              <w:rPr>
                <w:rFonts w:asciiTheme="minorHAnsi" w:hAnsiTheme="minorHAnsi" w:cstheme="minorHAnsi"/>
                <w:sz w:val="20"/>
                <w:szCs w:val="20"/>
              </w:rPr>
              <w:t xml:space="preserve"> </w:t>
            </w:r>
            <w:r w:rsidRPr="00B01BE3">
              <w:rPr>
                <w:rFonts w:asciiTheme="minorHAnsi" w:hAnsiTheme="minorHAnsi" w:cstheme="minorHAnsi"/>
                <w:sz w:val="20"/>
                <w:szCs w:val="20"/>
              </w:rPr>
              <w:t>(</w:t>
            </w:r>
            <w:r w:rsidR="00CE150A">
              <w:rPr>
                <w:rFonts w:asciiTheme="minorHAnsi" w:hAnsiTheme="minorHAnsi" w:cstheme="minorHAnsi"/>
                <w:sz w:val="20"/>
                <w:szCs w:val="20"/>
              </w:rPr>
              <w:t>World Health Organization</w:t>
            </w:r>
            <w:r w:rsidRPr="00B01BE3">
              <w:rPr>
                <w:rFonts w:asciiTheme="minorHAnsi" w:hAnsiTheme="minorHAnsi" w:cstheme="minorHAnsi"/>
                <w:sz w:val="20"/>
                <w:szCs w:val="20"/>
              </w:rPr>
              <w:t xml:space="preserve"> 2019)</w:t>
            </w:r>
            <w:r w:rsidR="00CE150A">
              <w:rPr>
                <w:rFonts w:asciiTheme="minorHAnsi" w:hAnsiTheme="minorHAnsi" w:cstheme="minorHAnsi"/>
                <w:sz w:val="20"/>
                <w:szCs w:val="20"/>
              </w:rPr>
              <w:t>.</w:t>
            </w:r>
          </w:p>
          <w:p w14:paraId="7E214C96" w14:textId="77777777" w:rsidR="00A6504D" w:rsidRPr="00A6504D" w:rsidRDefault="00A6504D" w:rsidP="00A6504D">
            <w:pPr>
              <w:pStyle w:val="Default"/>
              <w:rPr>
                <w:rFonts w:asciiTheme="minorHAnsi" w:hAnsiTheme="minorHAnsi" w:cstheme="minorHAnsi"/>
                <w:b/>
                <w:sz w:val="20"/>
                <w:szCs w:val="20"/>
              </w:rPr>
            </w:pPr>
          </w:p>
          <w:p w14:paraId="5E840456" w14:textId="77777777" w:rsidR="00A6504D" w:rsidRPr="00B01BE3" w:rsidRDefault="00A6504D" w:rsidP="00A6504D">
            <w:pPr>
              <w:pStyle w:val="Default"/>
              <w:rPr>
                <w:rFonts w:asciiTheme="minorHAnsi" w:hAnsiTheme="minorHAnsi" w:cstheme="minorHAnsi"/>
                <w:sz w:val="20"/>
                <w:szCs w:val="20"/>
              </w:rPr>
            </w:pPr>
            <w:r w:rsidRPr="00B01BE3">
              <w:rPr>
                <w:rFonts w:asciiTheme="minorHAnsi" w:hAnsiTheme="minorHAnsi" w:cstheme="minorHAnsi"/>
                <w:sz w:val="20"/>
                <w:szCs w:val="20"/>
              </w:rPr>
              <w:t>World Health Organizati</w:t>
            </w:r>
            <w:r w:rsidR="00CE150A">
              <w:rPr>
                <w:rFonts w:asciiTheme="minorHAnsi" w:hAnsiTheme="minorHAnsi" w:cstheme="minorHAnsi"/>
                <w:sz w:val="20"/>
                <w:szCs w:val="20"/>
              </w:rPr>
              <w:t>on (WHO) arsenic guidelines (World Health Organization</w:t>
            </w:r>
            <w:r w:rsidRPr="00B01BE3">
              <w:rPr>
                <w:rFonts w:asciiTheme="minorHAnsi" w:hAnsiTheme="minorHAnsi" w:cstheme="minorHAnsi"/>
                <w:sz w:val="20"/>
                <w:szCs w:val="20"/>
              </w:rPr>
              <w:t xml:space="preserve"> 2019)</w:t>
            </w:r>
            <w:r w:rsidR="00CE150A">
              <w:rPr>
                <w:rFonts w:asciiTheme="minorHAnsi" w:hAnsiTheme="minorHAnsi" w:cstheme="minorHAnsi"/>
                <w:sz w:val="20"/>
                <w:szCs w:val="20"/>
              </w:rPr>
              <w:t>:</w:t>
            </w:r>
          </w:p>
          <w:p w14:paraId="09A73C2D" w14:textId="77777777" w:rsidR="00A6504D" w:rsidRPr="00A6504D" w:rsidRDefault="00A6504D" w:rsidP="00354B09">
            <w:pPr>
              <w:pStyle w:val="Default"/>
              <w:numPr>
                <w:ilvl w:val="0"/>
                <w:numId w:val="10"/>
              </w:numPr>
              <w:ind w:left="306" w:hanging="306"/>
              <w:rPr>
                <w:rFonts w:asciiTheme="minorHAnsi" w:hAnsiTheme="minorHAnsi" w:cstheme="minorHAnsi"/>
                <w:b/>
                <w:bCs/>
                <w:sz w:val="20"/>
                <w:szCs w:val="20"/>
              </w:rPr>
            </w:pPr>
            <w:r w:rsidRPr="00A6504D">
              <w:rPr>
                <w:rFonts w:asciiTheme="minorHAnsi" w:hAnsiTheme="minorHAnsi" w:cstheme="minorHAnsi"/>
                <w:b/>
                <w:bCs/>
                <w:sz w:val="20"/>
                <w:szCs w:val="20"/>
              </w:rPr>
              <w:t xml:space="preserve">Tolerable intake level </w:t>
            </w:r>
            <w:r>
              <w:rPr>
                <w:rFonts w:asciiTheme="minorHAnsi" w:hAnsiTheme="minorHAnsi" w:cstheme="minorHAnsi"/>
                <w:b/>
                <w:bCs/>
                <w:sz w:val="20"/>
                <w:szCs w:val="20"/>
              </w:rPr>
              <w:t xml:space="preserve">- </w:t>
            </w:r>
            <w:r w:rsidRPr="00A6504D">
              <w:rPr>
                <w:rFonts w:asciiTheme="minorHAnsi" w:hAnsiTheme="minorHAnsi" w:cstheme="minorHAnsi"/>
                <w:sz w:val="20"/>
                <w:szCs w:val="20"/>
              </w:rPr>
              <w:t xml:space="preserve">In a review of the latest scientific evidence conducted in 2010, the Joint Food and Agriculture Organization of the United Nations (FAO)/WHO Expert Committee on Food Additives (JECFA) determined the lower limit on the benchmark dose for a 0.5% increased incidence of lung cancer (BMDL0.5) from epidemiological data to be 3.0 </w:t>
            </w:r>
            <w:proofErr w:type="spellStart"/>
            <w:r w:rsidRPr="00A6504D">
              <w:rPr>
                <w:rFonts w:asciiTheme="minorHAnsi" w:hAnsiTheme="minorHAnsi" w:cstheme="minorHAnsi"/>
                <w:sz w:val="20"/>
                <w:szCs w:val="20"/>
              </w:rPr>
              <w:t>μg</w:t>
            </w:r>
            <w:proofErr w:type="spellEnd"/>
            <w:r w:rsidRPr="00A6504D">
              <w:rPr>
                <w:rFonts w:asciiTheme="minorHAnsi" w:hAnsiTheme="minorHAnsi" w:cstheme="minorHAnsi"/>
                <w:sz w:val="20"/>
                <w:szCs w:val="20"/>
              </w:rPr>
              <w:t xml:space="preserve">/kg body weight per day (2–7 </w:t>
            </w:r>
            <w:proofErr w:type="spellStart"/>
            <w:r w:rsidRPr="00A6504D">
              <w:rPr>
                <w:rFonts w:asciiTheme="minorHAnsi" w:hAnsiTheme="minorHAnsi" w:cstheme="minorHAnsi"/>
                <w:sz w:val="20"/>
                <w:szCs w:val="20"/>
              </w:rPr>
              <w:t>μg</w:t>
            </w:r>
            <w:proofErr w:type="spellEnd"/>
            <w:r w:rsidRPr="00A6504D">
              <w:rPr>
                <w:rFonts w:asciiTheme="minorHAnsi" w:hAnsiTheme="minorHAnsi" w:cstheme="minorHAnsi"/>
                <w:sz w:val="20"/>
                <w:szCs w:val="20"/>
              </w:rPr>
              <w:t>/kg body weight per day based on the range of estimated total dietary exposure). No new tolerable intake level could be established. In areas where levels in water are below the WHO drinking-water guideline value, human health effects are unlikely.</w:t>
            </w:r>
            <w:r w:rsidRPr="00A6504D">
              <w:rPr>
                <w:rFonts w:asciiTheme="minorHAnsi" w:hAnsiTheme="minorHAnsi" w:cstheme="minorHAnsi"/>
                <w:b/>
                <w:bCs/>
                <w:sz w:val="20"/>
                <w:szCs w:val="20"/>
              </w:rPr>
              <w:t xml:space="preserve"> </w:t>
            </w:r>
          </w:p>
          <w:p w14:paraId="6FBC3128" w14:textId="77777777" w:rsidR="00A6504D" w:rsidRPr="00A6504D" w:rsidRDefault="00A6504D" w:rsidP="00354B09">
            <w:pPr>
              <w:pStyle w:val="Default"/>
              <w:numPr>
                <w:ilvl w:val="0"/>
                <w:numId w:val="10"/>
              </w:numPr>
              <w:ind w:left="306" w:hanging="306"/>
              <w:rPr>
                <w:rFonts w:asciiTheme="minorHAnsi" w:hAnsiTheme="minorHAnsi" w:cstheme="minorHAnsi"/>
                <w:b/>
                <w:bCs/>
                <w:sz w:val="20"/>
                <w:szCs w:val="20"/>
              </w:rPr>
            </w:pPr>
            <w:r w:rsidRPr="00A6504D">
              <w:rPr>
                <w:rFonts w:asciiTheme="minorHAnsi" w:hAnsiTheme="minorHAnsi" w:cstheme="minorHAnsi"/>
                <w:b/>
                <w:bCs/>
                <w:sz w:val="20"/>
                <w:szCs w:val="20"/>
              </w:rPr>
              <w:t xml:space="preserve">Drinking-water </w:t>
            </w:r>
            <w:r>
              <w:rPr>
                <w:rFonts w:asciiTheme="minorHAnsi" w:hAnsiTheme="minorHAnsi" w:cstheme="minorHAnsi"/>
                <w:b/>
                <w:bCs/>
                <w:sz w:val="20"/>
                <w:szCs w:val="20"/>
              </w:rPr>
              <w:t xml:space="preserve">- </w:t>
            </w:r>
            <w:r w:rsidRPr="00A6504D">
              <w:rPr>
                <w:rFonts w:asciiTheme="minorHAnsi" w:hAnsiTheme="minorHAnsi" w:cstheme="minorHAnsi"/>
                <w:sz w:val="20"/>
                <w:szCs w:val="20"/>
              </w:rPr>
              <w:t xml:space="preserve">The provisional guideline value is 10 </w:t>
            </w:r>
            <w:proofErr w:type="spellStart"/>
            <w:r w:rsidRPr="00A6504D">
              <w:rPr>
                <w:rFonts w:asciiTheme="minorHAnsi" w:hAnsiTheme="minorHAnsi" w:cstheme="minorHAnsi"/>
                <w:sz w:val="20"/>
                <w:szCs w:val="20"/>
              </w:rPr>
              <w:t>μg</w:t>
            </w:r>
            <w:proofErr w:type="spellEnd"/>
            <w:r w:rsidRPr="00A6504D">
              <w:rPr>
                <w:rFonts w:asciiTheme="minorHAnsi" w:hAnsiTheme="minorHAnsi" w:cstheme="minorHAnsi"/>
                <w:sz w:val="20"/>
                <w:szCs w:val="20"/>
              </w:rPr>
              <w:t xml:space="preserve">/L, </w:t>
            </w:r>
            <w:proofErr w:type="gramStart"/>
            <w:r w:rsidRPr="00A6504D">
              <w:rPr>
                <w:rFonts w:asciiTheme="minorHAnsi" w:hAnsiTheme="minorHAnsi" w:cstheme="minorHAnsi"/>
                <w:sz w:val="20"/>
                <w:szCs w:val="20"/>
              </w:rPr>
              <w:t>in light of</w:t>
            </w:r>
            <w:proofErr w:type="gramEnd"/>
            <w:r w:rsidRPr="00A6504D">
              <w:rPr>
                <w:rFonts w:asciiTheme="minorHAnsi" w:hAnsiTheme="minorHAnsi" w:cstheme="minorHAnsi"/>
                <w:sz w:val="20"/>
                <w:szCs w:val="20"/>
              </w:rPr>
              <w:t xml:space="preserve"> practical difficulties in removing arsenic in drinking water).2,9 Every effort should therefore be made to keep concentrations as low as reasonably possible and below the guideline when resources are available.</w:t>
            </w:r>
            <w:r w:rsidRPr="00A6504D">
              <w:rPr>
                <w:rFonts w:asciiTheme="minorHAnsi" w:hAnsiTheme="minorHAnsi" w:cstheme="minorHAnsi"/>
                <w:b/>
                <w:bCs/>
                <w:sz w:val="20"/>
                <w:szCs w:val="20"/>
              </w:rPr>
              <w:t xml:space="preserve"> </w:t>
            </w:r>
          </w:p>
          <w:p w14:paraId="21B6CF2F" w14:textId="77777777" w:rsidR="002922A3" w:rsidRPr="00A6504D" w:rsidRDefault="00A6504D" w:rsidP="00354B09">
            <w:pPr>
              <w:pStyle w:val="Default"/>
              <w:numPr>
                <w:ilvl w:val="0"/>
                <w:numId w:val="10"/>
              </w:numPr>
              <w:ind w:left="306" w:hanging="306"/>
              <w:rPr>
                <w:rFonts w:asciiTheme="minorHAnsi" w:hAnsiTheme="minorHAnsi" w:cstheme="minorHAnsi"/>
                <w:b/>
                <w:sz w:val="20"/>
                <w:szCs w:val="20"/>
              </w:rPr>
            </w:pPr>
            <w:r w:rsidRPr="00A6504D">
              <w:rPr>
                <w:rFonts w:asciiTheme="minorHAnsi" w:hAnsiTheme="minorHAnsi" w:cstheme="minorHAnsi"/>
                <w:b/>
                <w:bCs/>
                <w:sz w:val="20"/>
                <w:szCs w:val="20"/>
              </w:rPr>
              <w:t>Air</w:t>
            </w:r>
            <w:r>
              <w:rPr>
                <w:rFonts w:asciiTheme="minorHAnsi" w:hAnsiTheme="minorHAnsi" w:cstheme="minorHAnsi"/>
                <w:b/>
                <w:bCs/>
                <w:sz w:val="20"/>
                <w:szCs w:val="20"/>
              </w:rPr>
              <w:t xml:space="preserve"> - </w:t>
            </w:r>
            <w:r w:rsidRPr="00A6504D">
              <w:rPr>
                <w:rFonts w:asciiTheme="minorHAnsi" w:hAnsiTheme="minorHAnsi" w:cstheme="minorHAnsi"/>
                <w:sz w:val="20"/>
                <w:szCs w:val="20"/>
              </w:rPr>
              <w:t>A safe level of arsenic in air cannot be established</w:t>
            </w:r>
          </w:p>
          <w:p w14:paraId="7D36F717" w14:textId="77777777" w:rsidR="002F1DBE" w:rsidRPr="00A6504D" w:rsidRDefault="002F1DBE" w:rsidP="00A6504D">
            <w:pPr>
              <w:spacing w:after="0" w:line="240" w:lineRule="auto"/>
              <w:rPr>
                <w:rFonts w:cstheme="minorHAnsi"/>
                <w:b/>
                <w:sz w:val="20"/>
                <w:szCs w:val="20"/>
              </w:rPr>
            </w:pPr>
          </w:p>
          <w:p w14:paraId="40B23653" w14:textId="77777777" w:rsidR="002922A3" w:rsidRPr="00A6504D" w:rsidRDefault="002922A3" w:rsidP="00A6504D">
            <w:pPr>
              <w:spacing w:after="0" w:line="240" w:lineRule="auto"/>
              <w:rPr>
                <w:rFonts w:cstheme="minorHAnsi"/>
                <w:b/>
                <w:sz w:val="20"/>
                <w:szCs w:val="20"/>
                <w:lang w:val="en-US"/>
              </w:rPr>
            </w:pPr>
            <w:r w:rsidRPr="00A6504D">
              <w:rPr>
                <w:rFonts w:cstheme="minorHAnsi"/>
                <w:b/>
                <w:sz w:val="20"/>
                <w:szCs w:val="20"/>
                <w:lang w:val="en-US"/>
              </w:rPr>
              <w:t>Key</w:t>
            </w:r>
            <w:r w:rsidR="00737D25" w:rsidRPr="00A6504D">
              <w:rPr>
                <w:rFonts w:cstheme="minorHAnsi"/>
                <w:b/>
                <w:sz w:val="20"/>
                <w:szCs w:val="20"/>
                <w:lang w:val="en-US"/>
              </w:rPr>
              <w:t xml:space="preserve"> relevant</w:t>
            </w:r>
            <w:r w:rsidRPr="00A6504D">
              <w:rPr>
                <w:rFonts w:cstheme="minorHAnsi"/>
                <w:b/>
                <w:sz w:val="20"/>
                <w:szCs w:val="20"/>
                <w:lang w:val="en-US"/>
              </w:rPr>
              <w:t xml:space="preserve"> UN conve</w:t>
            </w:r>
            <w:r w:rsidR="00EF1C9E" w:rsidRPr="00A6504D">
              <w:rPr>
                <w:rFonts w:cstheme="minorHAnsi"/>
                <w:b/>
                <w:sz w:val="20"/>
                <w:szCs w:val="20"/>
                <w:lang w:val="en-US"/>
              </w:rPr>
              <w:t>ntion/multilateral treaty</w:t>
            </w:r>
            <w:r w:rsidRPr="00A6504D">
              <w:rPr>
                <w:rFonts w:cstheme="minorHAnsi"/>
                <w:b/>
                <w:sz w:val="20"/>
                <w:szCs w:val="20"/>
                <w:lang w:val="en-US"/>
              </w:rPr>
              <w:t>:</w:t>
            </w:r>
          </w:p>
          <w:p w14:paraId="0FDAE97E" w14:textId="77777777" w:rsidR="00A6504D" w:rsidRDefault="00A6504D" w:rsidP="00354B09">
            <w:pPr>
              <w:pStyle w:val="Default"/>
              <w:numPr>
                <w:ilvl w:val="0"/>
                <w:numId w:val="10"/>
              </w:numPr>
              <w:ind w:left="306" w:hanging="284"/>
              <w:rPr>
                <w:rFonts w:asciiTheme="minorHAnsi" w:hAnsiTheme="minorHAnsi" w:cstheme="minorHAnsi"/>
                <w:sz w:val="20"/>
                <w:szCs w:val="20"/>
              </w:rPr>
            </w:pPr>
            <w:r w:rsidRPr="00A6504D">
              <w:rPr>
                <w:rFonts w:asciiTheme="minorHAnsi" w:hAnsiTheme="minorHAnsi" w:cstheme="minorHAnsi"/>
                <w:sz w:val="20"/>
                <w:szCs w:val="20"/>
              </w:rPr>
              <w:t>International Health Regulations</w:t>
            </w:r>
          </w:p>
          <w:p w14:paraId="5C3C4A5B" w14:textId="77777777" w:rsidR="00A6504D" w:rsidRPr="00B01BE3" w:rsidRDefault="00B01BE3" w:rsidP="00354B09">
            <w:pPr>
              <w:pStyle w:val="Default"/>
              <w:numPr>
                <w:ilvl w:val="0"/>
                <w:numId w:val="10"/>
              </w:numPr>
              <w:ind w:left="306" w:hanging="284"/>
              <w:rPr>
                <w:rFonts w:asciiTheme="minorHAnsi" w:hAnsiTheme="minorHAnsi" w:cstheme="minorHAnsi"/>
                <w:sz w:val="20"/>
                <w:szCs w:val="20"/>
              </w:rPr>
            </w:pPr>
            <w:r w:rsidRPr="00B01BE3">
              <w:rPr>
                <w:rFonts w:asciiTheme="minorHAnsi" w:hAnsiTheme="minorHAnsi" w:cstheme="minorHAnsi"/>
                <w:sz w:val="20"/>
                <w:szCs w:val="20"/>
                <w:lang w:val="en"/>
              </w:rPr>
              <w:t>International Labour Organi</w:t>
            </w:r>
            <w:r w:rsidR="0068214C">
              <w:rPr>
                <w:rFonts w:asciiTheme="minorHAnsi" w:hAnsiTheme="minorHAnsi" w:cstheme="minorHAnsi"/>
                <w:sz w:val="20"/>
                <w:szCs w:val="20"/>
                <w:lang w:val="en"/>
              </w:rPr>
              <w:t>z</w:t>
            </w:r>
            <w:r w:rsidRPr="00B01BE3">
              <w:rPr>
                <w:rFonts w:asciiTheme="minorHAnsi" w:hAnsiTheme="minorHAnsi" w:cstheme="minorHAnsi"/>
                <w:sz w:val="20"/>
                <w:szCs w:val="20"/>
                <w:lang w:val="en"/>
              </w:rPr>
              <w:t xml:space="preserve">ation C042 - Workmen's Compensation (Occupational Diseases) Convention (Revised), 1934 (No. 42) Available at </w:t>
            </w:r>
            <w:hyperlink r:id="rId11" w:history="1">
              <w:r w:rsidR="00CE150A">
                <w:rPr>
                  <w:rStyle w:val="Hyperlink"/>
                  <w:rFonts w:asciiTheme="minorHAnsi" w:hAnsiTheme="minorHAnsi" w:cstheme="minorHAnsi"/>
                  <w:sz w:val="20"/>
                  <w:szCs w:val="20"/>
                  <w:lang w:val="en"/>
                </w:rPr>
                <w:t>www.ilo.org/dyn/normlex/en/f?p=NORMLEXPUB:12100:0::NO::P12100_ILO_CODE:C042</w:t>
              </w:r>
            </w:hyperlink>
            <w:r w:rsidR="00CE150A" w:rsidRPr="00CE150A">
              <w:rPr>
                <w:rStyle w:val="Hyperlink"/>
                <w:rFonts w:asciiTheme="minorHAnsi" w:hAnsiTheme="minorHAnsi" w:cstheme="minorHAnsi"/>
                <w:color w:val="000000" w:themeColor="text1"/>
                <w:sz w:val="20"/>
                <w:szCs w:val="20"/>
                <w:u w:val="none"/>
                <w:lang w:val="en"/>
              </w:rPr>
              <w:t>.</w:t>
            </w:r>
            <w:r w:rsidRPr="00B01BE3">
              <w:rPr>
                <w:rFonts w:asciiTheme="minorHAnsi" w:hAnsiTheme="minorHAnsi" w:cstheme="minorHAnsi"/>
                <w:sz w:val="20"/>
                <w:szCs w:val="20"/>
                <w:lang w:val="en"/>
              </w:rPr>
              <w:t xml:space="preserve"> </w:t>
            </w:r>
            <w:r w:rsidRPr="00B01BE3">
              <w:rPr>
                <w:rFonts w:asciiTheme="minorHAnsi" w:hAnsiTheme="minorHAnsi" w:cstheme="minorHAnsi"/>
                <w:bCs/>
                <w:sz w:val="20"/>
                <w:szCs w:val="20"/>
              </w:rPr>
              <w:t>Accessed on 2</w:t>
            </w:r>
            <w:r w:rsidR="00CE150A">
              <w:rPr>
                <w:rFonts w:asciiTheme="minorHAnsi" w:hAnsiTheme="minorHAnsi" w:cstheme="minorHAnsi"/>
                <w:bCs/>
                <w:sz w:val="20"/>
                <w:szCs w:val="20"/>
              </w:rPr>
              <w:t>1</w:t>
            </w:r>
            <w:r w:rsidRPr="00B01BE3">
              <w:rPr>
                <w:rFonts w:asciiTheme="minorHAnsi" w:hAnsiTheme="minorHAnsi" w:cstheme="minorHAnsi"/>
                <w:bCs/>
                <w:sz w:val="20"/>
                <w:szCs w:val="20"/>
              </w:rPr>
              <w:t xml:space="preserve"> November 2019.</w:t>
            </w:r>
          </w:p>
          <w:p w14:paraId="0FFD7F1F" w14:textId="77777777" w:rsidR="00037C7C" w:rsidRPr="00A6504D" w:rsidRDefault="00037C7C" w:rsidP="00A6504D">
            <w:pPr>
              <w:spacing w:after="0" w:line="240" w:lineRule="auto"/>
              <w:rPr>
                <w:rFonts w:cstheme="minorHAnsi"/>
                <w:b/>
                <w:sz w:val="20"/>
                <w:szCs w:val="20"/>
                <w:lang w:val="en-US"/>
              </w:rPr>
            </w:pPr>
          </w:p>
          <w:p w14:paraId="0B02779F" w14:textId="77777777" w:rsidR="00037C7C" w:rsidRPr="00B01BE3" w:rsidRDefault="00B30BD1" w:rsidP="00A6504D">
            <w:pPr>
              <w:spacing w:after="0" w:line="240" w:lineRule="auto"/>
              <w:rPr>
                <w:rFonts w:cstheme="minorHAnsi"/>
                <w:b/>
                <w:sz w:val="20"/>
                <w:szCs w:val="20"/>
                <w:lang w:val="en-US"/>
              </w:rPr>
            </w:pPr>
            <w:r w:rsidRPr="00B01BE3">
              <w:rPr>
                <w:rFonts w:cstheme="minorHAnsi"/>
                <w:b/>
                <w:sz w:val="20"/>
                <w:szCs w:val="20"/>
                <w:lang w:val="en-US"/>
              </w:rPr>
              <w:t>Examples of drivers,</w:t>
            </w:r>
            <w:r w:rsidR="00037C7C" w:rsidRPr="00B01BE3">
              <w:rPr>
                <w:rFonts w:cstheme="minorHAnsi"/>
                <w:b/>
                <w:sz w:val="20"/>
                <w:szCs w:val="20"/>
                <w:lang w:val="en-US"/>
              </w:rPr>
              <w:t xml:space="preserve"> outcomes</w:t>
            </w:r>
            <w:r w:rsidRPr="00B01BE3">
              <w:rPr>
                <w:rFonts w:cstheme="minorHAnsi"/>
                <w:b/>
                <w:sz w:val="20"/>
                <w:szCs w:val="20"/>
                <w:lang w:val="en-US"/>
              </w:rPr>
              <w:t xml:space="preserve"> </w:t>
            </w:r>
            <w:r w:rsidR="00AA45EE" w:rsidRPr="00B01BE3">
              <w:rPr>
                <w:rFonts w:cstheme="minorHAnsi"/>
                <w:b/>
                <w:sz w:val="20"/>
                <w:szCs w:val="20"/>
                <w:lang w:val="en-US"/>
              </w:rPr>
              <w:t>and risk management</w:t>
            </w:r>
            <w:r w:rsidR="00037C7C" w:rsidRPr="00B01BE3">
              <w:rPr>
                <w:rFonts w:cstheme="minorHAnsi"/>
                <w:b/>
                <w:sz w:val="20"/>
                <w:szCs w:val="20"/>
                <w:lang w:val="en-US"/>
              </w:rPr>
              <w:t>:</w:t>
            </w:r>
          </w:p>
          <w:p w14:paraId="78B3BA71" w14:textId="77777777" w:rsidR="00B01BE3" w:rsidRPr="00B01BE3" w:rsidRDefault="00B01BE3" w:rsidP="00A6504D">
            <w:pPr>
              <w:spacing w:after="0" w:line="240" w:lineRule="auto"/>
              <w:rPr>
                <w:rFonts w:cstheme="minorHAnsi"/>
                <w:sz w:val="20"/>
                <w:szCs w:val="20"/>
                <w:lang w:val="en-US"/>
              </w:rPr>
            </w:pPr>
            <w:r w:rsidRPr="00B01BE3">
              <w:rPr>
                <w:rFonts w:cstheme="minorHAnsi"/>
                <w:sz w:val="20"/>
                <w:szCs w:val="20"/>
                <w:lang w:val="en-US"/>
              </w:rPr>
              <w:t>WHO (2019) reports that arsenic is hazardous in the following</w:t>
            </w:r>
            <w:r>
              <w:rPr>
                <w:rFonts w:cstheme="minorHAnsi"/>
                <w:sz w:val="20"/>
                <w:szCs w:val="20"/>
                <w:lang w:val="en-US"/>
              </w:rPr>
              <w:t xml:space="preserve"> ways</w:t>
            </w:r>
            <w:r w:rsidRPr="00B01BE3">
              <w:rPr>
                <w:rFonts w:cstheme="minorHAnsi"/>
                <w:sz w:val="20"/>
                <w:szCs w:val="20"/>
                <w:lang w:val="en-US"/>
              </w:rPr>
              <w:t>:</w:t>
            </w:r>
          </w:p>
          <w:p w14:paraId="22047D49" w14:textId="77777777" w:rsidR="00B01BE3" w:rsidRPr="00B01BE3" w:rsidRDefault="00A6504D" w:rsidP="00354B09">
            <w:pPr>
              <w:pStyle w:val="ListParagraph"/>
              <w:numPr>
                <w:ilvl w:val="0"/>
                <w:numId w:val="10"/>
              </w:numPr>
              <w:autoSpaceDE w:val="0"/>
              <w:autoSpaceDN w:val="0"/>
              <w:adjustRightInd w:val="0"/>
              <w:spacing w:after="0" w:line="240" w:lineRule="auto"/>
              <w:ind w:left="306" w:hanging="306"/>
              <w:rPr>
                <w:rFonts w:asciiTheme="minorHAnsi" w:hAnsiTheme="minorHAnsi" w:cstheme="minorHAnsi"/>
                <w:szCs w:val="20"/>
              </w:rPr>
            </w:pPr>
            <w:r w:rsidRPr="00B01BE3">
              <w:rPr>
                <w:rFonts w:asciiTheme="minorHAnsi" w:hAnsiTheme="minorHAnsi" w:cstheme="minorHAnsi"/>
                <w:b/>
                <w:bCs/>
                <w:iCs/>
                <w:color w:val="000000"/>
                <w:szCs w:val="20"/>
              </w:rPr>
              <w:t xml:space="preserve">Drinking-water </w:t>
            </w:r>
            <w:r w:rsidR="00B01BE3" w:rsidRPr="00B01BE3">
              <w:rPr>
                <w:rFonts w:asciiTheme="minorHAnsi" w:hAnsiTheme="minorHAnsi" w:cstheme="minorHAnsi"/>
                <w:b/>
                <w:bCs/>
                <w:iCs/>
                <w:color w:val="000000"/>
                <w:szCs w:val="20"/>
              </w:rPr>
              <w:t xml:space="preserve">- </w:t>
            </w:r>
            <w:r w:rsidRPr="00B01BE3">
              <w:rPr>
                <w:rFonts w:asciiTheme="minorHAnsi" w:hAnsiTheme="minorHAnsi" w:cstheme="minorHAnsi"/>
                <w:color w:val="000000"/>
                <w:szCs w:val="20"/>
              </w:rPr>
              <w:t>Drinking-water poses the greatest threa</w:t>
            </w:r>
            <w:r w:rsidR="00B01BE3">
              <w:rPr>
                <w:rFonts w:asciiTheme="minorHAnsi" w:hAnsiTheme="minorHAnsi" w:cstheme="minorHAnsi"/>
                <w:color w:val="000000"/>
                <w:szCs w:val="20"/>
              </w:rPr>
              <w:t xml:space="preserve">t to public health from arsenic </w:t>
            </w:r>
            <w:r w:rsidR="00B01BE3">
              <w:rPr>
                <w:rFonts w:asciiTheme="minorHAnsi" w:hAnsiTheme="minorHAnsi" w:cstheme="minorHAnsi"/>
                <w:szCs w:val="20"/>
              </w:rPr>
              <w:t>(</w:t>
            </w:r>
            <w:r w:rsidR="006D2182">
              <w:rPr>
                <w:rFonts w:asciiTheme="minorHAnsi" w:hAnsiTheme="minorHAnsi" w:cstheme="minorHAnsi"/>
                <w:szCs w:val="20"/>
              </w:rPr>
              <w:t>World Health Organizati</w:t>
            </w:r>
            <w:r w:rsidR="00CE150A">
              <w:rPr>
                <w:rFonts w:asciiTheme="minorHAnsi" w:hAnsiTheme="minorHAnsi" w:cstheme="minorHAnsi"/>
                <w:szCs w:val="20"/>
              </w:rPr>
              <w:t>on</w:t>
            </w:r>
            <w:r w:rsidR="00B01BE3">
              <w:rPr>
                <w:rFonts w:asciiTheme="minorHAnsi" w:hAnsiTheme="minorHAnsi" w:cstheme="minorHAnsi"/>
                <w:szCs w:val="20"/>
              </w:rPr>
              <w:t xml:space="preserve"> 2019). </w:t>
            </w:r>
            <w:r w:rsidR="00B01BE3" w:rsidRPr="00B01BE3">
              <w:rPr>
                <w:rFonts w:asciiTheme="minorHAnsi" w:hAnsiTheme="minorHAnsi" w:cstheme="minorHAnsi"/>
                <w:szCs w:val="20"/>
              </w:rPr>
              <w:t xml:space="preserve"> </w:t>
            </w:r>
          </w:p>
          <w:p w14:paraId="2147134B" w14:textId="77777777" w:rsidR="00B01BE3" w:rsidRPr="00B01BE3" w:rsidRDefault="00B01BE3" w:rsidP="00354B09">
            <w:pPr>
              <w:pStyle w:val="Default"/>
              <w:numPr>
                <w:ilvl w:val="0"/>
                <w:numId w:val="10"/>
              </w:numPr>
              <w:ind w:left="306" w:hanging="306"/>
              <w:rPr>
                <w:rFonts w:asciiTheme="minorHAnsi" w:hAnsiTheme="minorHAnsi" w:cstheme="minorHAnsi"/>
                <w:sz w:val="20"/>
                <w:szCs w:val="20"/>
              </w:rPr>
            </w:pPr>
            <w:r w:rsidRPr="00B01BE3">
              <w:rPr>
                <w:rFonts w:asciiTheme="minorHAnsi" w:hAnsiTheme="minorHAnsi" w:cstheme="minorHAnsi"/>
                <w:b/>
                <w:bCs/>
                <w:iCs/>
                <w:sz w:val="20"/>
                <w:szCs w:val="20"/>
              </w:rPr>
              <w:t xml:space="preserve">Industrial processes - </w:t>
            </w:r>
            <w:r w:rsidRPr="00B01BE3">
              <w:rPr>
                <w:rFonts w:asciiTheme="minorHAnsi" w:hAnsiTheme="minorHAnsi" w:cstheme="minorHAnsi"/>
                <w:sz w:val="20"/>
                <w:szCs w:val="20"/>
              </w:rPr>
              <w:t>Most arsenic in industrial processes is used to produce antifungal wood preservatives, which can lead to soil contamination. Other current or historical uses include in the pharmaceutical and glass industries, in the manufacture of alloys, sheep dips, leather preservatives, arsenic-containing pigments, antifouling paints and poison baits and, to a diminishing extent, in the production of agrochemicals (especially for use in orchards and vineyards). Arsenic compounds are also employed in limited amounts in the microelectronics and optical industries. High arsenic levels in air can be found in the working environment as well as the general environment around non-ferrous metal smelters, where arsenic trioxide may be formed, and some coal-fired power plants (especially those using low-grade brown coal)</w:t>
            </w:r>
            <w:r w:rsidR="00CE150A">
              <w:rPr>
                <w:rFonts w:asciiTheme="minorHAnsi" w:hAnsiTheme="minorHAnsi" w:cstheme="minorHAnsi"/>
                <w:sz w:val="20"/>
                <w:szCs w:val="20"/>
              </w:rPr>
              <w:t xml:space="preserve"> (World Health Organization</w:t>
            </w:r>
            <w:r>
              <w:rPr>
                <w:rFonts w:asciiTheme="minorHAnsi" w:hAnsiTheme="minorHAnsi" w:cstheme="minorHAnsi"/>
                <w:sz w:val="20"/>
                <w:szCs w:val="20"/>
              </w:rPr>
              <w:t xml:space="preserve"> 2019)</w:t>
            </w:r>
            <w:r w:rsidR="00CE150A">
              <w:rPr>
                <w:rFonts w:asciiTheme="minorHAnsi" w:hAnsiTheme="minorHAnsi" w:cstheme="minorHAnsi"/>
                <w:sz w:val="20"/>
                <w:szCs w:val="20"/>
              </w:rPr>
              <w:t>.</w:t>
            </w:r>
          </w:p>
          <w:p w14:paraId="3EBBD972" w14:textId="77777777" w:rsidR="00B01BE3" w:rsidRPr="00B01BE3" w:rsidRDefault="00B01BE3" w:rsidP="00354B09">
            <w:pPr>
              <w:pStyle w:val="Default"/>
              <w:numPr>
                <w:ilvl w:val="0"/>
                <w:numId w:val="10"/>
              </w:numPr>
              <w:ind w:left="306" w:hanging="306"/>
              <w:rPr>
                <w:rFonts w:asciiTheme="minorHAnsi" w:hAnsiTheme="minorHAnsi" w:cstheme="minorHAnsi"/>
                <w:sz w:val="20"/>
                <w:szCs w:val="20"/>
              </w:rPr>
            </w:pPr>
            <w:r w:rsidRPr="00B01BE3">
              <w:rPr>
                <w:rFonts w:asciiTheme="minorHAnsi" w:hAnsiTheme="minorHAnsi" w:cstheme="minorHAnsi"/>
                <w:b/>
                <w:bCs/>
                <w:iCs/>
                <w:sz w:val="20"/>
                <w:szCs w:val="20"/>
              </w:rPr>
              <w:t xml:space="preserve">Food - </w:t>
            </w:r>
            <w:r w:rsidRPr="00B01BE3">
              <w:rPr>
                <w:rFonts w:asciiTheme="minorHAnsi" w:hAnsiTheme="minorHAnsi" w:cstheme="minorHAnsi"/>
                <w:sz w:val="20"/>
                <w:szCs w:val="20"/>
              </w:rPr>
              <w:t>In areas where arsenic is not naturally present at high levels, food usually contributes most to the daily intake of arsenic. Fish, shellfish, meat, poultry, dairy products and cereals are the main sources of dietary intake. However, the arsenic in fish and shellfish is usually in the form of organic compounds (e.g. arsenobetaine) that are of low toxicity.</w:t>
            </w:r>
            <w:r>
              <w:rPr>
                <w:rFonts w:asciiTheme="minorHAnsi" w:hAnsiTheme="minorHAnsi" w:cstheme="minorHAnsi"/>
                <w:sz w:val="20"/>
                <w:szCs w:val="20"/>
              </w:rPr>
              <w:t xml:space="preserve"> </w:t>
            </w:r>
            <w:r w:rsidRPr="00B01BE3">
              <w:rPr>
                <w:rFonts w:asciiTheme="minorHAnsi" w:hAnsiTheme="minorHAnsi" w:cstheme="minorHAnsi"/>
                <w:sz w:val="20"/>
                <w:szCs w:val="20"/>
              </w:rPr>
              <w:t>In areas where arsenic is naturally present at high levels, food (e.g. rice) prepared with high arsenic-containing water and food crops irrigated with contaminated water also contribute to total daily intake</w:t>
            </w:r>
            <w:r>
              <w:rPr>
                <w:rFonts w:asciiTheme="minorHAnsi" w:hAnsiTheme="minorHAnsi" w:cstheme="minorHAnsi"/>
                <w:sz w:val="20"/>
                <w:szCs w:val="20"/>
              </w:rPr>
              <w:t xml:space="preserve"> (W</w:t>
            </w:r>
            <w:r w:rsidR="00CE150A">
              <w:rPr>
                <w:rFonts w:asciiTheme="minorHAnsi" w:hAnsiTheme="minorHAnsi" w:cstheme="minorHAnsi"/>
                <w:sz w:val="20"/>
                <w:szCs w:val="20"/>
              </w:rPr>
              <w:t>orld Health Organization</w:t>
            </w:r>
            <w:r>
              <w:rPr>
                <w:rFonts w:asciiTheme="minorHAnsi" w:hAnsiTheme="minorHAnsi" w:cstheme="minorHAnsi"/>
                <w:sz w:val="20"/>
                <w:szCs w:val="20"/>
              </w:rPr>
              <w:t xml:space="preserve"> 2019)</w:t>
            </w:r>
            <w:r w:rsidR="00CE150A">
              <w:rPr>
                <w:rFonts w:asciiTheme="minorHAnsi" w:hAnsiTheme="minorHAnsi" w:cstheme="minorHAnsi"/>
                <w:sz w:val="20"/>
                <w:szCs w:val="20"/>
              </w:rPr>
              <w:t>.</w:t>
            </w:r>
          </w:p>
          <w:p w14:paraId="4791C2E7" w14:textId="77777777" w:rsidR="002922A3" w:rsidRPr="00B01BE3" w:rsidRDefault="00B01BE3" w:rsidP="00354B09">
            <w:pPr>
              <w:pStyle w:val="ListParagraph"/>
              <w:numPr>
                <w:ilvl w:val="0"/>
                <w:numId w:val="10"/>
              </w:numPr>
              <w:autoSpaceDE w:val="0"/>
              <w:autoSpaceDN w:val="0"/>
              <w:adjustRightInd w:val="0"/>
              <w:spacing w:after="0" w:line="240" w:lineRule="auto"/>
              <w:ind w:left="306" w:hanging="306"/>
              <w:rPr>
                <w:rFonts w:asciiTheme="minorHAnsi" w:hAnsiTheme="minorHAnsi" w:cstheme="minorHAnsi"/>
                <w:b/>
                <w:szCs w:val="20"/>
                <w:lang w:val="en-US"/>
              </w:rPr>
            </w:pPr>
            <w:r w:rsidRPr="00B01BE3">
              <w:rPr>
                <w:rFonts w:asciiTheme="minorHAnsi" w:hAnsiTheme="minorHAnsi" w:cstheme="minorHAnsi"/>
                <w:b/>
                <w:bCs/>
                <w:iCs/>
                <w:color w:val="000000"/>
                <w:szCs w:val="20"/>
              </w:rPr>
              <w:t xml:space="preserve">Smoking - </w:t>
            </w:r>
            <w:r w:rsidRPr="00B01BE3">
              <w:rPr>
                <w:rFonts w:asciiTheme="minorHAnsi" w:hAnsiTheme="minorHAnsi" w:cstheme="minorHAnsi"/>
                <w:color w:val="000000"/>
                <w:szCs w:val="20"/>
              </w:rPr>
              <w:t>Exposure of smokers to arsenic arises from the natural inorganic arsenic content of tobacco. Exposures were higher in the past when tobacco plants were treated</w:t>
            </w:r>
            <w:r w:rsidR="00CE150A">
              <w:rPr>
                <w:rFonts w:asciiTheme="minorHAnsi" w:hAnsiTheme="minorHAnsi" w:cstheme="minorHAnsi"/>
                <w:color w:val="000000"/>
                <w:szCs w:val="20"/>
              </w:rPr>
              <w:t xml:space="preserve"> with lead arsenate insecticide</w:t>
            </w:r>
            <w:r>
              <w:rPr>
                <w:rFonts w:asciiTheme="minorHAnsi" w:hAnsiTheme="minorHAnsi" w:cstheme="minorHAnsi"/>
                <w:color w:val="000000"/>
                <w:szCs w:val="20"/>
              </w:rPr>
              <w:t xml:space="preserve"> (W</w:t>
            </w:r>
            <w:r w:rsidR="00CE150A">
              <w:rPr>
                <w:rFonts w:asciiTheme="minorHAnsi" w:hAnsiTheme="minorHAnsi" w:cstheme="minorHAnsi"/>
                <w:color w:val="000000"/>
                <w:szCs w:val="20"/>
              </w:rPr>
              <w:t>orld Health Organization</w:t>
            </w:r>
            <w:r>
              <w:rPr>
                <w:rFonts w:asciiTheme="minorHAnsi" w:hAnsiTheme="minorHAnsi" w:cstheme="minorHAnsi"/>
                <w:color w:val="000000"/>
                <w:szCs w:val="20"/>
              </w:rPr>
              <w:t xml:space="preserve"> 2019)</w:t>
            </w:r>
            <w:r w:rsidR="00CE150A">
              <w:rPr>
                <w:rFonts w:asciiTheme="minorHAnsi" w:hAnsiTheme="minorHAnsi" w:cstheme="minorHAnsi"/>
                <w:color w:val="000000"/>
                <w:szCs w:val="20"/>
              </w:rPr>
              <w:t>.</w:t>
            </w:r>
          </w:p>
          <w:p w14:paraId="3DEF059D" w14:textId="77777777" w:rsidR="00B01BE3" w:rsidRPr="00B01BE3" w:rsidRDefault="00B01BE3" w:rsidP="00B01BE3">
            <w:pPr>
              <w:pStyle w:val="ListParagraph"/>
              <w:autoSpaceDE w:val="0"/>
              <w:autoSpaceDN w:val="0"/>
              <w:adjustRightInd w:val="0"/>
              <w:spacing w:after="0" w:line="240" w:lineRule="auto"/>
              <w:ind w:left="306"/>
              <w:rPr>
                <w:rFonts w:asciiTheme="minorHAnsi" w:hAnsiTheme="minorHAnsi" w:cstheme="minorHAnsi"/>
                <w:b/>
                <w:szCs w:val="20"/>
                <w:lang w:val="en-US"/>
              </w:rPr>
            </w:pPr>
          </w:p>
          <w:p w14:paraId="15B72EE1" w14:textId="77777777" w:rsidR="00B01BE3" w:rsidRPr="00B01BE3" w:rsidRDefault="00B01BE3" w:rsidP="00B01BE3">
            <w:pPr>
              <w:autoSpaceDE w:val="0"/>
              <w:autoSpaceDN w:val="0"/>
              <w:adjustRightInd w:val="0"/>
              <w:spacing w:after="0" w:line="240" w:lineRule="auto"/>
              <w:rPr>
                <w:rFonts w:cstheme="minorHAnsi"/>
                <w:color w:val="000000"/>
                <w:sz w:val="20"/>
                <w:szCs w:val="20"/>
              </w:rPr>
            </w:pPr>
            <w:r w:rsidRPr="00B01BE3">
              <w:rPr>
                <w:rFonts w:cstheme="minorHAnsi"/>
                <w:color w:val="000000"/>
                <w:sz w:val="20"/>
                <w:szCs w:val="20"/>
              </w:rPr>
              <w:t xml:space="preserve">Long-term actions are required to reduce exposure to arsenic from mining, metal smelting and refining, combustion of low-grade coal, pesticide use and timber treatment. </w:t>
            </w:r>
            <w:proofErr w:type="gramStart"/>
            <w:r w:rsidRPr="00B01BE3">
              <w:rPr>
                <w:rFonts w:cstheme="minorHAnsi"/>
                <w:color w:val="000000"/>
                <w:sz w:val="20"/>
                <w:szCs w:val="20"/>
              </w:rPr>
              <w:t>In particular, action</w:t>
            </w:r>
            <w:proofErr w:type="gramEnd"/>
            <w:r w:rsidRPr="00B01BE3">
              <w:rPr>
                <w:rFonts w:cstheme="minorHAnsi"/>
                <w:color w:val="000000"/>
                <w:sz w:val="20"/>
                <w:szCs w:val="20"/>
              </w:rPr>
              <w:t xml:space="preserve"> is needed to reduce the intake of arsenic from drinking-water and food in areas with naturally high levels in the groundwater</w:t>
            </w:r>
            <w:r>
              <w:rPr>
                <w:rFonts w:cstheme="minorHAnsi"/>
                <w:color w:val="000000"/>
                <w:sz w:val="20"/>
                <w:szCs w:val="20"/>
              </w:rPr>
              <w:t xml:space="preserve"> </w:t>
            </w:r>
            <w:r w:rsidRPr="00CE150A">
              <w:rPr>
                <w:rFonts w:cstheme="minorHAnsi"/>
                <w:color w:val="000000"/>
                <w:sz w:val="20"/>
                <w:szCs w:val="20"/>
              </w:rPr>
              <w:t>(W</w:t>
            </w:r>
            <w:r w:rsidR="00CE150A">
              <w:rPr>
                <w:rFonts w:cstheme="minorHAnsi"/>
                <w:color w:val="000000"/>
                <w:sz w:val="20"/>
                <w:szCs w:val="20"/>
              </w:rPr>
              <w:t>orld Health Organization</w:t>
            </w:r>
            <w:r w:rsidRPr="00CE150A">
              <w:rPr>
                <w:rFonts w:cstheme="minorHAnsi"/>
                <w:color w:val="000000"/>
                <w:sz w:val="20"/>
                <w:szCs w:val="20"/>
              </w:rPr>
              <w:t xml:space="preserve"> 2019)</w:t>
            </w:r>
            <w:r w:rsidR="00CE150A">
              <w:rPr>
                <w:rFonts w:cstheme="minorHAnsi"/>
                <w:color w:val="000000"/>
                <w:sz w:val="20"/>
                <w:szCs w:val="20"/>
              </w:rPr>
              <w:t>.</w:t>
            </w:r>
          </w:p>
          <w:p w14:paraId="2F8E3539" w14:textId="77777777" w:rsidR="00B01BE3" w:rsidRDefault="00B01BE3" w:rsidP="00B01BE3">
            <w:pPr>
              <w:autoSpaceDE w:val="0"/>
              <w:autoSpaceDN w:val="0"/>
              <w:adjustRightInd w:val="0"/>
              <w:spacing w:after="0" w:line="240" w:lineRule="auto"/>
              <w:rPr>
                <w:rFonts w:cstheme="minorHAnsi"/>
                <w:bCs/>
                <w:color w:val="000000"/>
                <w:sz w:val="20"/>
                <w:szCs w:val="20"/>
              </w:rPr>
            </w:pPr>
          </w:p>
          <w:p w14:paraId="7D9C8A1E" w14:textId="77777777" w:rsidR="00B01BE3" w:rsidRPr="00B01BE3" w:rsidRDefault="00B01BE3" w:rsidP="00B01BE3">
            <w:pPr>
              <w:autoSpaceDE w:val="0"/>
              <w:autoSpaceDN w:val="0"/>
              <w:adjustRightInd w:val="0"/>
              <w:spacing w:after="0" w:line="240" w:lineRule="auto"/>
              <w:rPr>
                <w:rFonts w:cstheme="minorHAnsi"/>
                <w:color w:val="000000"/>
                <w:sz w:val="20"/>
                <w:szCs w:val="20"/>
              </w:rPr>
            </w:pPr>
            <w:r>
              <w:rPr>
                <w:rFonts w:cstheme="minorHAnsi"/>
                <w:bCs/>
                <w:color w:val="000000"/>
                <w:sz w:val="20"/>
                <w:szCs w:val="20"/>
              </w:rPr>
              <w:t xml:space="preserve">The </w:t>
            </w:r>
            <w:r w:rsidRPr="00B01BE3">
              <w:rPr>
                <w:rFonts w:cstheme="minorHAnsi"/>
                <w:bCs/>
                <w:color w:val="000000"/>
                <w:sz w:val="20"/>
                <w:szCs w:val="20"/>
              </w:rPr>
              <w:t xml:space="preserve">WHO factsheet on Preventing disease through healthy environments - exposure to </w:t>
            </w:r>
            <w:r w:rsidR="00CE150A">
              <w:rPr>
                <w:rFonts w:cstheme="minorHAnsi"/>
                <w:bCs/>
                <w:color w:val="000000"/>
                <w:sz w:val="20"/>
                <w:szCs w:val="20"/>
              </w:rPr>
              <w:t>a</w:t>
            </w:r>
            <w:r w:rsidRPr="00B01BE3">
              <w:rPr>
                <w:rFonts w:cstheme="minorHAnsi"/>
                <w:bCs/>
                <w:color w:val="000000"/>
                <w:sz w:val="20"/>
                <w:szCs w:val="20"/>
              </w:rPr>
              <w:t>rsenic: a major public health concern (</w:t>
            </w:r>
            <w:r w:rsidRPr="00B01BE3">
              <w:rPr>
                <w:rFonts w:cstheme="minorHAnsi"/>
                <w:sz w:val="20"/>
                <w:szCs w:val="20"/>
              </w:rPr>
              <w:t xml:space="preserve">World Health Organization </w:t>
            </w:r>
            <w:r w:rsidRPr="00B01BE3">
              <w:rPr>
                <w:rFonts w:cstheme="minorHAnsi"/>
                <w:bCs/>
                <w:color w:val="000000"/>
                <w:sz w:val="20"/>
                <w:szCs w:val="20"/>
              </w:rPr>
              <w:t xml:space="preserve">2019) includes the following </w:t>
            </w:r>
            <w:r>
              <w:rPr>
                <w:rFonts w:cstheme="minorHAnsi"/>
                <w:bCs/>
                <w:color w:val="000000"/>
                <w:sz w:val="20"/>
                <w:szCs w:val="20"/>
              </w:rPr>
              <w:t>r</w:t>
            </w:r>
            <w:r w:rsidRPr="00B01BE3">
              <w:rPr>
                <w:rFonts w:cstheme="minorHAnsi"/>
                <w:bCs/>
                <w:color w:val="000000"/>
                <w:sz w:val="20"/>
                <w:szCs w:val="20"/>
              </w:rPr>
              <w:t>isk mitigation recommendations</w:t>
            </w:r>
            <w:r>
              <w:rPr>
                <w:rFonts w:cstheme="minorHAnsi"/>
                <w:bCs/>
                <w:color w:val="000000"/>
                <w:sz w:val="20"/>
                <w:szCs w:val="20"/>
              </w:rPr>
              <w:t xml:space="preserve">: </w:t>
            </w:r>
            <w:r w:rsidRPr="00B01BE3">
              <w:rPr>
                <w:rFonts w:cstheme="minorHAnsi"/>
                <w:color w:val="000000"/>
                <w:sz w:val="20"/>
                <w:szCs w:val="20"/>
              </w:rPr>
              <w:t xml:space="preserve"> </w:t>
            </w:r>
          </w:p>
          <w:p w14:paraId="796BACDC" w14:textId="77777777" w:rsidR="00B01BE3" w:rsidRPr="00B01BE3" w:rsidRDefault="00B01BE3" w:rsidP="00B01BE3">
            <w:pPr>
              <w:pStyle w:val="ListParagraph"/>
              <w:numPr>
                <w:ilvl w:val="0"/>
                <w:numId w:val="10"/>
              </w:numPr>
              <w:autoSpaceDE w:val="0"/>
              <w:autoSpaceDN w:val="0"/>
              <w:adjustRightInd w:val="0"/>
              <w:spacing w:after="42" w:line="240" w:lineRule="auto"/>
              <w:ind w:left="306" w:hanging="284"/>
              <w:rPr>
                <w:rFonts w:asciiTheme="minorHAnsi" w:hAnsiTheme="minorHAnsi" w:cstheme="minorHAnsi"/>
                <w:color w:val="000000"/>
                <w:szCs w:val="20"/>
              </w:rPr>
            </w:pPr>
            <w:r w:rsidRPr="00B01BE3">
              <w:rPr>
                <w:rFonts w:asciiTheme="minorHAnsi" w:hAnsiTheme="minorHAnsi" w:cstheme="minorHAnsi"/>
                <w:color w:val="000000"/>
                <w:szCs w:val="20"/>
              </w:rPr>
              <w:t xml:space="preserve">Make available drinking-water with arsenic concentrations below the WHO provisional drinking-water guideline value of 10 </w:t>
            </w:r>
            <w:proofErr w:type="spellStart"/>
            <w:r w:rsidRPr="00B01BE3">
              <w:rPr>
                <w:rFonts w:asciiTheme="minorHAnsi" w:hAnsiTheme="minorHAnsi" w:cstheme="minorHAnsi"/>
                <w:color w:val="000000"/>
                <w:szCs w:val="20"/>
              </w:rPr>
              <w:t>μg</w:t>
            </w:r>
            <w:proofErr w:type="spellEnd"/>
            <w:r w:rsidRPr="00B01BE3">
              <w:rPr>
                <w:rFonts w:asciiTheme="minorHAnsi" w:hAnsiTheme="minorHAnsi" w:cstheme="minorHAnsi"/>
                <w:color w:val="000000"/>
                <w:szCs w:val="20"/>
              </w:rPr>
              <w:t xml:space="preserve">/L in areas where the level is higher. Possible measures include: </w:t>
            </w:r>
          </w:p>
          <w:p w14:paraId="32D37FD0" w14:textId="77777777" w:rsidR="00B01BE3" w:rsidRPr="00B01BE3" w:rsidRDefault="00B01BE3" w:rsidP="00B01BE3">
            <w:pPr>
              <w:pStyle w:val="ListParagraph"/>
              <w:numPr>
                <w:ilvl w:val="0"/>
                <w:numId w:val="11"/>
              </w:numPr>
              <w:autoSpaceDE w:val="0"/>
              <w:autoSpaceDN w:val="0"/>
              <w:adjustRightInd w:val="0"/>
              <w:spacing w:after="42" w:line="240" w:lineRule="auto"/>
              <w:rPr>
                <w:rFonts w:asciiTheme="minorHAnsi" w:hAnsiTheme="minorHAnsi" w:cstheme="minorHAnsi"/>
                <w:color w:val="000000"/>
                <w:szCs w:val="20"/>
              </w:rPr>
            </w:pPr>
            <w:r w:rsidRPr="00B01BE3">
              <w:rPr>
                <w:rFonts w:asciiTheme="minorHAnsi" w:hAnsiTheme="minorHAnsi" w:cstheme="minorHAnsi"/>
                <w:color w:val="000000"/>
                <w:szCs w:val="20"/>
              </w:rPr>
              <w:t xml:space="preserve">testing water for arsenic levels and informing users of the results; </w:t>
            </w:r>
          </w:p>
          <w:p w14:paraId="76DB2D32" w14:textId="77777777" w:rsidR="00B01BE3" w:rsidRPr="00B01BE3" w:rsidRDefault="00B01BE3" w:rsidP="00B01BE3">
            <w:pPr>
              <w:pStyle w:val="ListParagraph"/>
              <w:numPr>
                <w:ilvl w:val="0"/>
                <w:numId w:val="11"/>
              </w:numPr>
              <w:autoSpaceDE w:val="0"/>
              <w:autoSpaceDN w:val="0"/>
              <w:adjustRightInd w:val="0"/>
              <w:spacing w:after="42" w:line="240" w:lineRule="auto"/>
              <w:rPr>
                <w:rFonts w:asciiTheme="minorHAnsi" w:hAnsiTheme="minorHAnsi" w:cstheme="minorHAnsi"/>
                <w:color w:val="000000"/>
                <w:szCs w:val="20"/>
              </w:rPr>
            </w:pPr>
            <w:r w:rsidRPr="00B01BE3">
              <w:rPr>
                <w:rFonts w:asciiTheme="minorHAnsi" w:hAnsiTheme="minorHAnsi" w:cstheme="minorHAnsi"/>
                <w:color w:val="000000"/>
                <w:szCs w:val="20"/>
              </w:rPr>
              <w:t xml:space="preserve">installing arsenic removal systems, either centralized or domestic, and ensuring appropriate disposal of the removed arsenic; </w:t>
            </w:r>
          </w:p>
          <w:p w14:paraId="5161C0D0" w14:textId="77777777" w:rsidR="00B01BE3" w:rsidRPr="00B01BE3" w:rsidRDefault="00B01BE3" w:rsidP="00B01BE3">
            <w:pPr>
              <w:pStyle w:val="Default"/>
              <w:numPr>
                <w:ilvl w:val="0"/>
                <w:numId w:val="11"/>
              </w:numPr>
              <w:rPr>
                <w:rFonts w:asciiTheme="minorHAnsi" w:hAnsiTheme="minorHAnsi" w:cstheme="minorHAnsi"/>
                <w:sz w:val="20"/>
                <w:szCs w:val="20"/>
              </w:rPr>
            </w:pPr>
            <w:r w:rsidRPr="00B01BE3">
              <w:rPr>
                <w:rFonts w:asciiTheme="minorHAnsi" w:hAnsiTheme="minorHAnsi" w:cstheme="minorHAnsi"/>
                <w:sz w:val="20"/>
                <w:szCs w:val="20"/>
              </w:rPr>
              <w:t>substituting high-arsenic sources, such as groundwater, with low-arsenic, microbiologically safe sources such as rainwater and treated surface water. Low-</w:t>
            </w:r>
            <w:r w:rsidRPr="00B01BE3">
              <w:rPr>
                <w:rFonts w:asciiTheme="minorHAnsi" w:hAnsiTheme="minorHAnsi" w:cstheme="minorHAnsi"/>
                <w:sz w:val="20"/>
                <w:szCs w:val="23"/>
              </w:rPr>
              <w:t xml:space="preserve">arsenic </w:t>
            </w:r>
            <w:r w:rsidRPr="00B01BE3">
              <w:rPr>
                <w:rFonts w:asciiTheme="minorHAnsi" w:hAnsiTheme="minorHAnsi" w:cstheme="minorHAnsi"/>
                <w:sz w:val="20"/>
                <w:szCs w:val="20"/>
              </w:rPr>
              <w:t xml:space="preserve">water can be used for drinking, cooking and irrigation purposes, whereas high-arsenic water can be used for other purposes such as bathing and washing clothes; </w:t>
            </w:r>
          </w:p>
          <w:p w14:paraId="2E2EC9E6" w14:textId="77777777" w:rsidR="00B01BE3" w:rsidRPr="00B01BE3" w:rsidRDefault="00B01BE3" w:rsidP="00B01BE3">
            <w:pPr>
              <w:pStyle w:val="Default"/>
              <w:numPr>
                <w:ilvl w:val="0"/>
                <w:numId w:val="11"/>
              </w:numPr>
              <w:spacing w:after="42"/>
              <w:rPr>
                <w:rFonts w:asciiTheme="minorHAnsi" w:hAnsiTheme="minorHAnsi" w:cstheme="minorHAnsi"/>
                <w:sz w:val="20"/>
                <w:szCs w:val="23"/>
              </w:rPr>
            </w:pPr>
            <w:r w:rsidRPr="00B01BE3">
              <w:rPr>
                <w:rFonts w:asciiTheme="minorHAnsi" w:hAnsiTheme="minorHAnsi" w:cstheme="minorHAnsi"/>
                <w:sz w:val="20"/>
                <w:szCs w:val="23"/>
              </w:rPr>
              <w:t xml:space="preserve">discriminating between high-arsenic and low-arsenic sources by testing water for arsenic levels and painting tube wells or hand pumps different colours (e.g. red and green); and </w:t>
            </w:r>
          </w:p>
          <w:p w14:paraId="54044A54" w14:textId="77777777" w:rsidR="00B01BE3" w:rsidRPr="00B01BE3" w:rsidRDefault="00B01BE3" w:rsidP="00B01BE3">
            <w:pPr>
              <w:pStyle w:val="Default"/>
              <w:numPr>
                <w:ilvl w:val="0"/>
                <w:numId w:val="11"/>
              </w:numPr>
              <w:spacing w:after="42"/>
              <w:rPr>
                <w:rFonts w:asciiTheme="minorHAnsi" w:hAnsiTheme="minorHAnsi" w:cstheme="minorHAnsi"/>
                <w:sz w:val="20"/>
                <w:szCs w:val="23"/>
              </w:rPr>
            </w:pPr>
            <w:r w:rsidRPr="00B01BE3">
              <w:rPr>
                <w:rFonts w:asciiTheme="minorHAnsi" w:hAnsiTheme="minorHAnsi" w:cstheme="minorHAnsi"/>
                <w:sz w:val="20"/>
                <w:szCs w:val="23"/>
              </w:rPr>
              <w:t xml:space="preserve">blending low-arsenic water with higher-arsenic water to achieve an acceptable arsenic concentration level. </w:t>
            </w:r>
          </w:p>
          <w:p w14:paraId="43A4672F" w14:textId="77777777" w:rsidR="00B01BE3" w:rsidRPr="00B01BE3" w:rsidRDefault="00B01BE3" w:rsidP="00B01BE3">
            <w:pPr>
              <w:pStyle w:val="Default"/>
              <w:numPr>
                <w:ilvl w:val="0"/>
                <w:numId w:val="10"/>
              </w:numPr>
              <w:spacing w:after="42"/>
              <w:ind w:left="306" w:hanging="306"/>
              <w:rPr>
                <w:rFonts w:asciiTheme="minorHAnsi" w:hAnsiTheme="minorHAnsi" w:cstheme="minorHAnsi"/>
                <w:sz w:val="20"/>
                <w:szCs w:val="23"/>
              </w:rPr>
            </w:pPr>
            <w:r w:rsidRPr="00B01BE3">
              <w:rPr>
                <w:rFonts w:asciiTheme="minorHAnsi" w:hAnsiTheme="minorHAnsi" w:cstheme="minorHAnsi"/>
                <w:sz w:val="20"/>
                <w:szCs w:val="23"/>
              </w:rPr>
              <w:t xml:space="preserve">Reduce occupational exposure to arsenic and its compounds. </w:t>
            </w:r>
          </w:p>
          <w:p w14:paraId="15175AC8" w14:textId="77777777" w:rsidR="00B01BE3" w:rsidRPr="00B01BE3" w:rsidRDefault="00B01BE3" w:rsidP="00B01BE3">
            <w:pPr>
              <w:pStyle w:val="Default"/>
              <w:numPr>
                <w:ilvl w:val="0"/>
                <w:numId w:val="10"/>
              </w:numPr>
              <w:spacing w:after="42"/>
              <w:ind w:left="306" w:hanging="306"/>
              <w:rPr>
                <w:rFonts w:asciiTheme="minorHAnsi" w:hAnsiTheme="minorHAnsi" w:cstheme="minorHAnsi"/>
                <w:sz w:val="20"/>
                <w:szCs w:val="23"/>
              </w:rPr>
            </w:pPr>
            <w:r w:rsidRPr="00B01BE3">
              <w:rPr>
                <w:rFonts w:asciiTheme="minorHAnsi" w:hAnsiTheme="minorHAnsi" w:cstheme="minorHAnsi"/>
                <w:sz w:val="20"/>
                <w:szCs w:val="23"/>
              </w:rPr>
              <w:t xml:space="preserve">Make both the general public and the health sector aware of the harmful effects of high arsenic intake and the sources of exposure (including use of high-arsenic water for crops irrigation or food preparation) and how to avoid these sources. </w:t>
            </w:r>
          </w:p>
          <w:p w14:paraId="3C0262EE" w14:textId="77777777" w:rsidR="00B01BE3" w:rsidRPr="00B01BE3" w:rsidRDefault="00B01BE3" w:rsidP="00B01BE3">
            <w:pPr>
              <w:pStyle w:val="Default"/>
              <w:numPr>
                <w:ilvl w:val="0"/>
                <w:numId w:val="10"/>
              </w:numPr>
              <w:spacing w:after="42"/>
              <w:ind w:left="306" w:hanging="306"/>
              <w:rPr>
                <w:rFonts w:asciiTheme="minorHAnsi" w:hAnsiTheme="minorHAnsi" w:cstheme="minorHAnsi"/>
                <w:sz w:val="20"/>
                <w:szCs w:val="23"/>
              </w:rPr>
            </w:pPr>
            <w:r w:rsidRPr="00B01BE3">
              <w:rPr>
                <w:rFonts w:asciiTheme="minorHAnsi" w:hAnsiTheme="minorHAnsi" w:cstheme="minorHAnsi"/>
                <w:sz w:val="20"/>
                <w:szCs w:val="23"/>
              </w:rPr>
              <w:t xml:space="preserve">Monitor high-risk populations for early signs of arsenic poisoning, usually skin problems. It should be noted that total urinary arsenic does not differentiate between inorganic arsenic, which is toxic, and organic arsenic, some of which is not. Where possible, arsenic speciation should be attempted in order to differentiate these two forms (and their metabolites). </w:t>
            </w:r>
          </w:p>
          <w:p w14:paraId="429A07BF" w14:textId="77777777" w:rsidR="00B01BE3" w:rsidRPr="00B01BE3" w:rsidRDefault="00B01BE3" w:rsidP="00B01BE3">
            <w:pPr>
              <w:pStyle w:val="Default"/>
              <w:numPr>
                <w:ilvl w:val="0"/>
                <w:numId w:val="10"/>
              </w:numPr>
              <w:ind w:left="306" w:hanging="306"/>
              <w:rPr>
                <w:rFonts w:asciiTheme="minorHAnsi" w:hAnsiTheme="minorHAnsi" w:cstheme="minorHAnsi"/>
                <w:sz w:val="20"/>
                <w:szCs w:val="23"/>
              </w:rPr>
            </w:pPr>
            <w:r w:rsidRPr="00B01BE3">
              <w:rPr>
                <w:rFonts w:asciiTheme="minorHAnsi" w:hAnsiTheme="minorHAnsi" w:cstheme="minorHAnsi"/>
                <w:sz w:val="20"/>
                <w:szCs w:val="23"/>
              </w:rPr>
              <w:t xml:space="preserve">The WHO/UNICEF Joint Monitoring Programme for Water Supply, Sanitation and Hygiene monitors progress towards global targets on drinking-water. Under the new 2030 Agenda for Sustainable Development, the indicator of “safely managed drinking water services” calls for tracking the population accessing drinking-water that is free of faecal contamination and priority chemical contaminants, including arsenic. </w:t>
            </w:r>
          </w:p>
          <w:p w14:paraId="2A280893" w14:textId="77777777" w:rsidR="002922A3" w:rsidRPr="00A6504D" w:rsidRDefault="002922A3" w:rsidP="00A6504D">
            <w:pPr>
              <w:spacing w:after="0" w:line="240" w:lineRule="auto"/>
              <w:rPr>
                <w:rFonts w:cstheme="minorHAnsi"/>
                <w:b/>
                <w:sz w:val="20"/>
                <w:szCs w:val="20"/>
              </w:rPr>
            </w:pPr>
          </w:p>
          <w:p w14:paraId="5CDDAF3D" w14:textId="77777777" w:rsidR="0062205C" w:rsidRPr="00A6504D" w:rsidRDefault="00E54DA3" w:rsidP="008978B6">
            <w:pPr>
              <w:spacing w:before="240"/>
              <w:rPr>
                <w:rFonts w:cstheme="minorHAnsi"/>
                <w:b/>
                <w:sz w:val="20"/>
                <w:szCs w:val="20"/>
              </w:rPr>
            </w:pPr>
            <w:r w:rsidRPr="00A6504D">
              <w:rPr>
                <w:rFonts w:cstheme="minorHAnsi"/>
                <w:b/>
                <w:sz w:val="20"/>
                <w:szCs w:val="20"/>
              </w:rPr>
              <w:t>REFERENCES:</w:t>
            </w:r>
          </w:p>
          <w:p w14:paraId="3F98AE12" w14:textId="77777777" w:rsidR="002922A3" w:rsidRPr="00B01BE3" w:rsidRDefault="00B01BE3" w:rsidP="00B01BE3">
            <w:pPr>
              <w:pStyle w:val="ListParagraph"/>
              <w:numPr>
                <w:ilvl w:val="0"/>
                <w:numId w:val="10"/>
              </w:numPr>
              <w:spacing w:after="0" w:line="240" w:lineRule="auto"/>
              <w:ind w:left="306"/>
              <w:rPr>
                <w:rFonts w:asciiTheme="minorHAnsi" w:hAnsiTheme="minorHAnsi" w:cstheme="minorHAnsi"/>
                <w:b/>
                <w:szCs w:val="20"/>
              </w:rPr>
            </w:pPr>
            <w:r w:rsidRPr="00B01BE3">
              <w:rPr>
                <w:rFonts w:asciiTheme="minorHAnsi" w:hAnsiTheme="minorHAnsi" w:cstheme="minorHAnsi"/>
                <w:szCs w:val="20"/>
              </w:rPr>
              <w:t>World Health Organi</w:t>
            </w:r>
            <w:r w:rsidR="00CE150A">
              <w:rPr>
                <w:rFonts w:asciiTheme="minorHAnsi" w:hAnsiTheme="minorHAnsi" w:cstheme="minorHAnsi"/>
                <w:szCs w:val="20"/>
              </w:rPr>
              <w:t>z</w:t>
            </w:r>
            <w:r w:rsidRPr="00B01BE3">
              <w:rPr>
                <w:rFonts w:asciiTheme="minorHAnsi" w:hAnsiTheme="minorHAnsi" w:cstheme="minorHAnsi"/>
                <w:szCs w:val="20"/>
              </w:rPr>
              <w:t>ation (2019)</w:t>
            </w:r>
            <w:r w:rsidR="00CE150A">
              <w:rPr>
                <w:rFonts w:asciiTheme="minorHAnsi" w:hAnsiTheme="minorHAnsi" w:cstheme="minorHAnsi"/>
                <w:szCs w:val="20"/>
              </w:rPr>
              <w:t>.</w:t>
            </w:r>
            <w:r w:rsidRPr="00B01BE3">
              <w:rPr>
                <w:rFonts w:asciiTheme="minorHAnsi" w:hAnsiTheme="minorHAnsi" w:cstheme="minorHAnsi"/>
                <w:color w:val="000000"/>
                <w:szCs w:val="20"/>
              </w:rPr>
              <w:t xml:space="preserve"> </w:t>
            </w:r>
            <w:r w:rsidRPr="00B01BE3">
              <w:rPr>
                <w:rFonts w:asciiTheme="minorHAnsi" w:hAnsiTheme="minorHAnsi" w:cstheme="minorHAnsi"/>
                <w:bCs/>
                <w:color w:val="000000"/>
                <w:szCs w:val="20"/>
              </w:rPr>
              <w:t xml:space="preserve">Preventing </w:t>
            </w:r>
            <w:r w:rsidR="00CE150A">
              <w:rPr>
                <w:rFonts w:asciiTheme="minorHAnsi" w:hAnsiTheme="minorHAnsi" w:cstheme="minorHAnsi"/>
                <w:bCs/>
                <w:color w:val="000000"/>
                <w:szCs w:val="20"/>
              </w:rPr>
              <w:t>d</w:t>
            </w:r>
            <w:r w:rsidRPr="00B01BE3">
              <w:rPr>
                <w:rFonts w:asciiTheme="minorHAnsi" w:hAnsiTheme="minorHAnsi" w:cstheme="minorHAnsi"/>
                <w:bCs/>
                <w:color w:val="000000"/>
                <w:szCs w:val="20"/>
              </w:rPr>
              <w:t xml:space="preserve">isease through </w:t>
            </w:r>
            <w:r w:rsidR="00CE150A">
              <w:rPr>
                <w:rFonts w:asciiTheme="minorHAnsi" w:hAnsiTheme="minorHAnsi" w:cstheme="minorHAnsi"/>
                <w:bCs/>
                <w:color w:val="000000"/>
                <w:szCs w:val="20"/>
              </w:rPr>
              <w:t>h</w:t>
            </w:r>
            <w:r w:rsidRPr="00B01BE3">
              <w:rPr>
                <w:rFonts w:asciiTheme="minorHAnsi" w:hAnsiTheme="minorHAnsi" w:cstheme="minorHAnsi"/>
                <w:bCs/>
                <w:color w:val="000000"/>
                <w:szCs w:val="20"/>
              </w:rPr>
              <w:t xml:space="preserve">ealthy </w:t>
            </w:r>
            <w:r w:rsidR="00CE150A">
              <w:rPr>
                <w:rFonts w:asciiTheme="minorHAnsi" w:hAnsiTheme="minorHAnsi" w:cstheme="minorHAnsi"/>
                <w:bCs/>
                <w:color w:val="000000"/>
                <w:szCs w:val="20"/>
              </w:rPr>
              <w:t xml:space="preserve">environments: </w:t>
            </w:r>
            <w:r w:rsidRPr="00B01BE3">
              <w:rPr>
                <w:rFonts w:asciiTheme="minorHAnsi" w:hAnsiTheme="minorHAnsi" w:cstheme="minorHAnsi"/>
                <w:bCs/>
                <w:color w:val="000000"/>
                <w:szCs w:val="20"/>
              </w:rPr>
              <w:t xml:space="preserve">Exposure to </w:t>
            </w:r>
            <w:r w:rsidR="00CE150A">
              <w:rPr>
                <w:rFonts w:asciiTheme="minorHAnsi" w:hAnsiTheme="minorHAnsi" w:cstheme="minorHAnsi"/>
                <w:bCs/>
                <w:color w:val="000000"/>
                <w:szCs w:val="20"/>
              </w:rPr>
              <w:t>arsenic: A m</w:t>
            </w:r>
            <w:r w:rsidRPr="00B01BE3">
              <w:rPr>
                <w:rFonts w:asciiTheme="minorHAnsi" w:hAnsiTheme="minorHAnsi" w:cstheme="minorHAnsi"/>
                <w:bCs/>
                <w:color w:val="000000"/>
                <w:szCs w:val="20"/>
              </w:rPr>
              <w:t xml:space="preserve">ajor </w:t>
            </w:r>
            <w:r w:rsidR="00CE150A">
              <w:rPr>
                <w:rFonts w:asciiTheme="minorHAnsi" w:hAnsiTheme="minorHAnsi" w:cstheme="minorHAnsi"/>
                <w:bCs/>
                <w:color w:val="000000"/>
                <w:szCs w:val="20"/>
              </w:rPr>
              <w:t>p</w:t>
            </w:r>
            <w:r w:rsidRPr="00B01BE3">
              <w:rPr>
                <w:rFonts w:asciiTheme="minorHAnsi" w:hAnsiTheme="minorHAnsi" w:cstheme="minorHAnsi"/>
                <w:bCs/>
                <w:color w:val="000000"/>
                <w:szCs w:val="20"/>
              </w:rPr>
              <w:t xml:space="preserve">ublic </w:t>
            </w:r>
            <w:r w:rsidR="00CE150A">
              <w:rPr>
                <w:rFonts w:asciiTheme="minorHAnsi" w:hAnsiTheme="minorHAnsi" w:cstheme="minorHAnsi"/>
                <w:bCs/>
                <w:color w:val="000000"/>
                <w:szCs w:val="20"/>
              </w:rPr>
              <w:t>h</w:t>
            </w:r>
            <w:r w:rsidRPr="00B01BE3">
              <w:rPr>
                <w:rFonts w:asciiTheme="minorHAnsi" w:hAnsiTheme="minorHAnsi" w:cstheme="minorHAnsi"/>
                <w:bCs/>
                <w:color w:val="000000"/>
                <w:szCs w:val="20"/>
              </w:rPr>
              <w:t xml:space="preserve">ealth </w:t>
            </w:r>
            <w:r w:rsidR="00CE150A">
              <w:rPr>
                <w:rFonts w:asciiTheme="minorHAnsi" w:hAnsiTheme="minorHAnsi" w:cstheme="minorHAnsi"/>
                <w:bCs/>
                <w:color w:val="000000"/>
                <w:szCs w:val="20"/>
              </w:rPr>
              <w:t>c</w:t>
            </w:r>
            <w:r w:rsidRPr="00B01BE3">
              <w:rPr>
                <w:rFonts w:asciiTheme="minorHAnsi" w:hAnsiTheme="minorHAnsi" w:cstheme="minorHAnsi"/>
                <w:bCs/>
                <w:color w:val="000000"/>
                <w:szCs w:val="20"/>
              </w:rPr>
              <w:t xml:space="preserve">oncern. Available at </w:t>
            </w:r>
            <w:hyperlink r:id="rId12" w:history="1">
              <w:r w:rsidR="00CE150A">
                <w:rPr>
                  <w:rStyle w:val="Hyperlink"/>
                  <w:rFonts w:asciiTheme="minorHAnsi" w:hAnsiTheme="minorHAnsi" w:cstheme="minorHAnsi"/>
                  <w:bCs/>
                  <w:szCs w:val="20"/>
                </w:rPr>
                <w:t>apps.who.int/iris/bitstream/handle/10665/329482/WHO-CED-PHE-EPE-19.4.1-eng.pdf?ua=1</w:t>
              </w:r>
            </w:hyperlink>
            <w:r w:rsidR="00CE150A" w:rsidRPr="00FD1A86">
              <w:rPr>
                <w:rStyle w:val="Hyperlink"/>
                <w:rFonts w:asciiTheme="minorHAnsi" w:hAnsiTheme="minorHAnsi" w:cstheme="minorHAnsi"/>
                <w:bCs/>
                <w:color w:val="000000" w:themeColor="text1"/>
                <w:szCs w:val="20"/>
                <w:u w:val="none"/>
              </w:rPr>
              <w:t>.</w:t>
            </w:r>
            <w:r w:rsidR="00CE150A">
              <w:rPr>
                <w:rFonts w:asciiTheme="minorHAnsi" w:hAnsiTheme="minorHAnsi" w:cstheme="minorHAnsi"/>
                <w:bCs/>
                <w:color w:val="000000"/>
                <w:szCs w:val="20"/>
              </w:rPr>
              <w:t xml:space="preserve"> Accessed on 21</w:t>
            </w:r>
            <w:r w:rsidRPr="00B01BE3">
              <w:rPr>
                <w:rFonts w:asciiTheme="minorHAnsi" w:hAnsiTheme="minorHAnsi" w:cstheme="minorHAnsi"/>
                <w:bCs/>
                <w:color w:val="000000"/>
                <w:szCs w:val="20"/>
              </w:rPr>
              <w:t xml:space="preserve"> November 2019.</w:t>
            </w:r>
          </w:p>
          <w:p w14:paraId="5F5ACC7E" w14:textId="77777777" w:rsidR="002922A3" w:rsidRPr="00800A81" w:rsidRDefault="00B01BE3" w:rsidP="0068214C">
            <w:pPr>
              <w:pStyle w:val="Default"/>
              <w:numPr>
                <w:ilvl w:val="0"/>
                <w:numId w:val="10"/>
              </w:numPr>
              <w:ind w:left="306"/>
              <w:rPr>
                <w:rFonts w:cstheme="minorHAnsi"/>
                <w:b/>
                <w:sz w:val="20"/>
                <w:szCs w:val="20"/>
              </w:rPr>
            </w:pPr>
            <w:r w:rsidRPr="0068214C">
              <w:rPr>
                <w:rFonts w:asciiTheme="minorHAnsi" w:hAnsiTheme="minorHAnsi" w:cstheme="minorHAnsi"/>
                <w:sz w:val="20"/>
                <w:szCs w:val="20"/>
                <w:lang w:val="en"/>
              </w:rPr>
              <w:t>International Labour Organi</w:t>
            </w:r>
            <w:r w:rsidR="0068214C" w:rsidRPr="0068214C">
              <w:rPr>
                <w:rFonts w:asciiTheme="minorHAnsi" w:hAnsiTheme="minorHAnsi" w:cstheme="minorHAnsi"/>
                <w:sz w:val="20"/>
                <w:szCs w:val="20"/>
                <w:lang w:val="en"/>
              </w:rPr>
              <w:t>z</w:t>
            </w:r>
            <w:r w:rsidRPr="0068214C">
              <w:rPr>
                <w:rFonts w:asciiTheme="minorHAnsi" w:hAnsiTheme="minorHAnsi" w:cstheme="minorHAnsi"/>
                <w:sz w:val="20"/>
                <w:szCs w:val="20"/>
                <w:lang w:val="en"/>
              </w:rPr>
              <w:t>ation</w:t>
            </w:r>
            <w:r w:rsidR="0068214C" w:rsidRPr="0068214C">
              <w:rPr>
                <w:rFonts w:asciiTheme="minorHAnsi" w:hAnsiTheme="minorHAnsi" w:cstheme="minorHAnsi"/>
                <w:sz w:val="20"/>
                <w:szCs w:val="20"/>
                <w:lang w:val="en"/>
              </w:rPr>
              <w:t xml:space="preserve"> (1934).</w:t>
            </w:r>
            <w:r w:rsidRPr="0068214C">
              <w:rPr>
                <w:rFonts w:asciiTheme="minorHAnsi" w:hAnsiTheme="minorHAnsi" w:cstheme="minorHAnsi"/>
                <w:sz w:val="20"/>
                <w:szCs w:val="20"/>
                <w:lang w:val="en"/>
              </w:rPr>
              <w:t xml:space="preserve"> C042 - Workmen's Compensation (Occupational Diseases) Convention (Revised), 1934 (No. 42)</w:t>
            </w:r>
            <w:r w:rsidR="0068214C" w:rsidRPr="0068214C">
              <w:rPr>
                <w:rFonts w:asciiTheme="minorHAnsi" w:hAnsiTheme="minorHAnsi" w:cstheme="minorHAnsi"/>
                <w:sz w:val="20"/>
                <w:szCs w:val="20"/>
                <w:lang w:val="en"/>
              </w:rPr>
              <w:t>.</w:t>
            </w:r>
            <w:r w:rsidRPr="0068214C">
              <w:rPr>
                <w:rFonts w:asciiTheme="minorHAnsi" w:hAnsiTheme="minorHAnsi" w:cstheme="minorHAnsi"/>
                <w:sz w:val="20"/>
                <w:szCs w:val="20"/>
                <w:lang w:val="en"/>
              </w:rPr>
              <w:t xml:space="preserve"> Available at </w:t>
            </w:r>
            <w:hyperlink r:id="rId13" w:history="1">
              <w:r w:rsidR="0068214C" w:rsidRPr="0068214C">
                <w:rPr>
                  <w:rStyle w:val="Hyperlink"/>
                  <w:rFonts w:asciiTheme="minorHAnsi" w:hAnsiTheme="minorHAnsi" w:cstheme="minorHAnsi"/>
                  <w:sz w:val="20"/>
                  <w:szCs w:val="20"/>
                  <w:lang w:val="en"/>
                </w:rPr>
                <w:t>www.ilo.org/dyn/normlex/en/f?p=NORMLEXPUB:12100:0::NO::P12100_ILO_CODE:C042</w:t>
              </w:r>
            </w:hyperlink>
            <w:r w:rsidR="0068214C" w:rsidRPr="0068214C">
              <w:rPr>
                <w:rStyle w:val="Hyperlink"/>
                <w:rFonts w:asciiTheme="minorHAnsi" w:hAnsiTheme="minorHAnsi" w:cstheme="minorHAnsi"/>
                <w:color w:val="000000" w:themeColor="text1"/>
                <w:sz w:val="20"/>
                <w:szCs w:val="20"/>
                <w:u w:val="none"/>
                <w:lang w:val="en"/>
              </w:rPr>
              <w:t>.</w:t>
            </w:r>
            <w:r w:rsidRPr="0068214C">
              <w:rPr>
                <w:rFonts w:asciiTheme="minorHAnsi" w:hAnsiTheme="minorHAnsi" w:cstheme="minorHAnsi"/>
                <w:sz w:val="20"/>
                <w:szCs w:val="20"/>
                <w:lang w:val="en"/>
              </w:rPr>
              <w:t xml:space="preserve"> </w:t>
            </w:r>
            <w:r w:rsidRPr="0068214C">
              <w:rPr>
                <w:rFonts w:asciiTheme="minorHAnsi" w:hAnsiTheme="minorHAnsi" w:cstheme="minorHAnsi"/>
                <w:bCs/>
                <w:sz w:val="20"/>
                <w:szCs w:val="20"/>
              </w:rPr>
              <w:t>Accessed on 2</w:t>
            </w:r>
            <w:r w:rsidR="0068214C" w:rsidRPr="0068214C">
              <w:rPr>
                <w:rFonts w:asciiTheme="minorHAnsi" w:hAnsiTheme="minorHAnsi" w:cstheme="minorHAnsi"/>
                <w:bCs/>
                <w:sz w:val="20"/>
                <w:szCs w:val="20"/>
              </w:rPr>
              <w:t>1</w:t>
            </w:r>
            <w:r w:rsidRPr="0068214C">
              <w:rPr>
                <w:rFonts w:asciiTheme="minorHAnsi" w:hAnsiTheme="minorHAnsi" w:cstheme="minorHAnsi"/>
                <w:bCs/>
                <w:sz w:val="20"/>
                <w:szCs w:val="20"/>
              </w:rPr>
              <w:t xml:space="preserve"> November 2019.</w:t>
            </w:r>
          </w:p>
          <w:p w14:paraId="3963E374" w14:textId="77777777" w:rsidR="007C407A" w:rsidRPr="00A277B4" w:rsidRDefault="00800A81" w:rsidP="00A277B4">
            <w:pPr>
              <w:pStyle w:val="Default"/>
              <w:numPr>
                <w:ilvl w:val="0"/>
                <w:numId w:val="10"/>
              </w:numPr>
              <w:ind w:left="306"/>
              <w:rPr>
                <w:rFonts w:asciiTheme="minorHAnsi" w:hAnsiTheme="minorHAnsi" w:cstheme="minorHAnsi"/>
                <w:b/>
                <w:sz w:val="20"/>
                <w:szCs w:val="20"/>
              </w:rPr>
            </w:pPr>
            <w:r w:rsidRPr="00A277B4">
              <w:rPr>
                <w:rFonts w:asciiTheme="minorHAnsi" w:hAnsiTheme="minorHAnsi" w:cstheme="minorHAnsi"/>
                <w:sz w:val="20"/>
                <w:szCs w:val="20"/>
              </w:rPr>
              <w:t>I</w:t>
            </w:r>
            <w:r w:rsidRPr="00A277B4">
              <w:rPr>
                <w:rFonts w:asciiTheme="minorHAnsi" w:hAnsiTheme="minorHAnsi" w:cstheme="minorHAnsi"/>
                <w:sz w:val="20"/>
                <w:szCs w:val="20"/>
              </w:rPr>
              <w:t>nternational Agency for Research on Cancer (I</w:t>
            </w:r>
            <w:r w:rsidRPr="00A277B4">
              <w:rPr>
                <w:rFonts w:asciiTheme="minorHAnsi" w:hAnsiTheme="minorHAnsi" w:cstheme="minorHAnsi"/>
                <w:sz w:val="20"/>
                <w:szCs w:val="20"/>
              </w:rPr>
              <w:t>ARC</w:t>
            </w:r>
            <w:r w:rsidRPr="00A277B4">
              <w:rPr>
                <w:rFonts w:asciiTheme="minorHAnsi" w:hAnsiTheme="minorHAnsi" w:cstheme="minorHAnsi"/>
                <w:sz w:val="20"/>
                <w:szCs w:val="20"/>
              </w:rPr>
              <w:t xml:space="preserve">) Arsenic and Arsenic Compounds </w:t>
            </w:r>
            <w:r w:rsidRPr="00A277B4">
              <w:rPr>
                <w:rFonts w:asciiTheme="minorHAnsi" w:hAnsiTheme="minorHAnsi" w:cstheme="minorHAnsi"/>
                <w:sz w:val="20"/>
                <w:szCs w:val="20"/>
              </w:rPr>
              <w:t xml:space="preserve"> : </w:t>
            </w:r>
            <w:hyperlink r:id="rId14" w:history="1">
              <w:r w:rsidR="007C407A" w:rsidRPr="00A277B4">
                <w:rPr>
                  <w:rStyle w:val="Hyperlink"/>
                  <w:rFonts w:asciiTheme="minorHAnsi" w:hAnsiTheme="minorHAnsi" w:cstheme="minorHAnsi"/>
                  <w:sz w:val="20"/>
                  <w:szCs w:val="20"/>
                </w:rPr>
                <w:t>https://monographs.iarc.fr/wp-content/uploads/2018/06/mono100C-6.pdf</w:t>
              </w:r>
              <w:r w:rsidR="007C407A" w:rsidRPr="00A277B4">
                <w:rPr>
                  <w:rStyle w:val="Hyperlink"/>
                  <w:rFonts w:asciiTheme="minorHAnsi" w:hAnsiTheme="minorHAnsi" w:cstheme="minorHAnsi"/>
                  <w:sz w:val="20"/>
                  <w:szCs w:val="20"/>
                </w:rPr>
                <w:t xml:space="preserve"> </w:t>
              </w:r>
            </w:hyperlink>
            <w:r w:rsidR="007C407A" w:rsidRPr="00A277B4">
              <w:rPr>
                <w:rFonts w:asciiTheme="minorHAnsi" w:hAnsiTheme="minorHAnsi" w:cstheme="minorHAnsi"/>
                <w:sz w:val="20"/>
                <w:szCs w:val="20"/>
              </w:rPr>
              <w:t xml:space="preserve"> </w:t>
            </w:r>
            <w:r w:rsidR="007C407A" w:rsidRPr="00A277B4">
              <w:rPr>
                <w:rFonts w:asciiTheme="minorHAnsi" w:hAnsiTheme="minorHAnsi" w:cstheme="minorHAnsi"/>
                <w:bCs/>
                <w:sz w:val="20"/>
                <w:szCs w:val="20"/>
              </w:rPr>
              <w:t xml:space="preserve">Accessed on </w:t>
            </w:r>
            <w:r w:rsidR="00A277B4" w:rsidRPr="00A277B4">
              <w:rPr>
                <w:rFonts w:asciiTheme="minorHAnsi" w:hAnsiTheme="minorHAnsi" w:cstheme="minorHAnsi"/>
                <w:bCs/>
                <w:sz w:val="20"/>
                <w:szCs w:val="20"/>
              </w:rPr>
              <w:t>3 September 2020</w:t>
            </w:r>
          </w:p>
        </w:tc>
      </w:tr>
      <w:tr w:rsidR="009F69D4" w:rsidRPr="0062205C" w14:paraId="37FC6D2D" w14:textId="77777777" w:rsidTr="00CE150A">
        <w:tc>
          <w:tcPr>
            <w:tcW w:w="9016" w:type="dxa"/>
          </w:tcPr>
          <w:p w14:paraId="1A001ADF" w14:textId="77777777" w:rsidR="007704B9" w:rsidRPr="0062205C" w:rsidRDefault="007704B9" w:rsidP="00A6504D">
            <w:pPr>
              <w:spacing w:after="0" w:line="240" w:lineRule="auto"/>
              <w:rPr>
                <w:rFonts w:cstheme="minorHAnsi"/>
                <w:sz w:val="20"/>
                <w:szCs w:val="20"/>
                <w:lang w:val="en-US"/>
              </w:rPr>
            </w:pPr>
            <w:r w:rsidRPr="0062205C">
              <w:rPr>
                <w:rFonts w:cstheme="minorHAnsi"/>
                <w:b/>
                <w:bCs/>
                <w:sz w:val="20"/>
                <w:szCs w:val="20"/>
                <w:lang w:val="en-US"/>
              </w:rPr>
              <w:t>Coordinating Agency or Organisation:</w:t>
            </w:r>
          </w:p>
          <w:p w14:paraId="111399B5" w14:textId="77777777" w:rsidR="007704B9" w:rsidRPr="0062205C" w:rsidRDefault="00354B09" w:rsidP="00A6504D">
            <w:pPr>
              <w:spacing w:after="0" w:line="240" w:lineRule="auto"/>
              <w:rPr>
                <w:rFonts w:cstheme="minorHAnsi"/>
                <w:sz w:val="20"/>
                <w:szCs w:val="20"/>
                <w:lang w:val="en-US"/>
              </w:rPr>
            </w:pPr>
            <w:r w:rsidRPr="00B01BE3">
              <w:rPr>
                <w:rFonts w:cstheme="minorHAnsi"/>
                <w:sz w:val="20"/>
                <w:szCs w:val="20"/>
              </w:rPr>
              <w:t>World Health Organi</w:t>
            </w:r>
            <w:r w:rsidR="0068214C">
              <w:rPr>
                <w:rFonts w:cstheme="minorHAnsi"/>
                <w:sz w:val="20"/>
                <w:szCs w:val="20"/>
              </w:rPr>
              <w:t>z</w:t>
            </w:r>
            <w:r w:rsidRPr="00B01BE3">
              <w:rPr>
                <w:rFonts w:cstheme="minorHAnsi"/>
                <w:sz w:val="20"/>
                <w:szCs w:val="20"/>
              </w:rPr>
              <w:t>ation</w:t>
            </w:r>
          </w:p>
        </w:tc>
      </w:tr>
      <w:tr w:rsidR="009F69D4" w:rsidRPr="0062205C" w14:paraId="7BA59F36" w14:textId="77777777" w:rsidTr="00CE150A">
        <w:trPr>
          <w:trHeight w:val="877"/>
        </w:trPr>
        <w:tc>
          <w:tcPr>
            <w:tcW w:w="9016" w:type="dxa"/>
          </w:tcPr>
          <w:p w14:paraId="69F52891" w14:textId="77777777" w:rsidR="007704B9" w:rsidRPr="0062205C" w:rsidRDefault="00C46D5E" w:rsidP="00A6504D">
            <w:pPr>
              <w:spacing w:after="0" w:line="240" w:lineRule="auto"/>
              <w:rPr>
                <w:rFonts w:cstheme="minorHAnsi"/>
                <w:b/>
                <w:sz w:val="20"/>
                <w:szCs w:val="20"/>
              </w:rPr>
            </w:pPr>
            <w:r w:rsidRPr="0062205C">
              <w:rPr>
                <w:rFonts w:cstheme="minorHAnsi"/>
                <w:b/>
                <w:sz w:val="20"/>
                <w:szCs w:val="20"/>
              </w:rPr>
              <w:t>Author</w:t>
            </w:r>
            <w:r w:rsidR="007704B9" w:rsidRPr="0062205C">
              <w:rPr>
                <w:rFonts w:cstheme="minorHAnsi"/>
                <w:b/>
                <w:sz w:val="20"/>
                <w:szCs w:val="20"/>
              </w:rPr>
              <w:t>(</w:t>
            </w:r>
            <w:r w:rsidRPr="0062205C">
              <w:rPr>
                <w:rFonts w:cstheme="minorHAnsi"/>
                <w:b/>
                <w:sz w:val="20"/>
                <w:szCs w:val="20"/>
              </w:rPr>
              <w:t>s</w:t>
            </w:r>
            <w:r w:rsidR="007704B9" w:rsidRPr="0062205C">
              <w:rPr>
                <w:rFonts w:cstheme="minorHAnsi"/>
                <w:b/>
                <w:sz w:val="20"/>
                <w:szCs w:val="20"/>
              </w:rPr>
              <w:t>):</w:t>
            </w:r>
            <w:r w:rsidR="00354B09">
              <w:rPr>
                <w:rFonts w:cstheme="minorHAnsi"/>
                <w:b/>
                <w:sz w:val="20"/>
                <w:szCs w:val="20"/>
              </w:rPr>
              <w:t xml:space="preserve"> </w:t>
            </w:r>
            <w:r w:rsidR="00354B09" w:rsidRPr="00354B09">
              <w:rPr>
                <w:rFonts w:cstheme="minorHAnsi"/>
                <w:sz w:val="20"/>
                <w:szCs w:val="20"/>
              </w:rPr>
              <w:t>Lidia Mayner and Virginia Murray</w:t>
            </w:r>
          </w:p>
          <w:p w14:paraId="7D223EFA" w14:textId="77777777" w:rsidR="00354B09" w:rsidRDefault="007704B9" w:rsidP="00354B09">
            <w:pPr>
              <w:spacing w:after="0" w:line="240" w:lineRule="auto"/>
              <w:rPr>
                <w:rFonts w:cstheme="minorHAnsi"/>
                <w:b/>
                <w:sz w:val="20"/>
                <w:szCs w:val="20"/>
              </w:rPr>
            </w:pPr>
            <w:r w:rsidRPr="0062205C">
              <w:rPr>
                <w:rFonts w:cstheme="minorHAnsi"/>
                <w:b/>
                <w:sz w:val="20"/>
                <w:szCs w:val="20"/>
              </w:rPr>
              <w:t>Version:</w:t>
            </w:r>
            <w:r w:rsidR="00354B09">
              <w:rPr>
                <w:rFonts w:cstheme="minorHAnsi"/>
                <w:b/>
                <w:sz w:val="20"/>
                <w:szCs w:val="20"/>
              </w:rPr>
              <w:t xml:space="preserve"> </w:t>
            </w:r>
          </w:p>
          <w:p w14:paraId="25D70A23" w14:textId="77777777" w:rsidR="00354B09" w:rsidRPr="00354B09" w:rsidRDefault="00354B09" w:rsidP="00354B09">
            <w:pPr>
              <w:spacing w:after="0" w:line="240" w:lineRule="auto"/>
              <w:rPr>
                <w:rFonts w:cstheme="minorHAnsi"/>
                <w:sz w:val="20"/>
                <w:szCs w:val="20"/>
              </w:rPr>
            </w:pPr>
            <w:r w:rsidRPr="00354B09">
              <w:rPr>
                <w:rFonts w:cstheme="minorHAnsi"/>
                <w:sz w:val="20"/>
                <w:szCs w:val="20"/>
              </w:rPr>
              <w:t>4</w:t>
            </w:r>
            <w:r>
              <w:rPr>
                <w:rFonts w:cstheme="minorHAnsi"/>
                <w:sz w:val="20"/>
                <w:szCs w:val="20"/>
              </w:rPr>
              <w:t>.0</w:t>
            </w:r>
            <w:r w:rsidRPr="00354B09">
              <w:rPr>
                <w:rFonts w:cstheme="minorHAnsi"/>
                <w:sz w:val="20"/>
                <w:szCs w:val="20"/>
              </w:rPr>
              <w:t xml:space="preserve"> Reviewed and updates</w:t>
            </w:r>
          </w:p>
          <w:p w14:paraId="45ACAA5F" w14:textId="77777777" w:rsidR="00354B09" w:rsidRDefault="00354B09" w:rsidP="00354B09">
            <w:pPr>
              <w:spacing w:after="0" w:line="240" w:lineRule="auto"/>
              <w:rPr>
                <w:rFonts w:cstheme="minorHAnsi"/>
                <w:sz w:val="20"/>
                <w:szCs w:val="20"/>
              </w:rPr>
            </w:pPr>
            <w:r>
              <w:rPr>
                <w:rFonts w:cstheme="minorHAnsi"/>
                <w:sz w:val="20"/>
                <w:szCs w:val="20"/>
              </w:rPr>
              <w:t xml:space="preserve">3.0 Lidia Mayner </w:t>
            </w:r>
            <w:r>
              <w:rPr>
                <w:sz w:val="20"/>
              </w:rPr>
              <w:t>reviewed and updated 11 November 2019</w:t>
            </w:r>
          </w:p>
          <w:p w14:paraId="0C10C732" w14:textId="77777777" w:rsidR="00354B09" w:rsidRDefault="00354B09" w:rsidP="00354B09">
            <w:pPr>
              <w:spacing w:after="0" w:line="240" w:lineRule="auto"/>
              <w:rPr>
                <w:rFonts w:cstheme="minorHAnsi"/>
                <w:sz w:val="20"/>
                <w:szCs w:val="20"/>
              </w:rPr>
            </w:pPr>
            <w:r>
              <w:rPr>
                <w:rFonts w:cstheme="minorHAnsi"/>
                <w:sz w:val="20"/>
                <w:szCs w:val="20"/>
              </w:rPr>
              <w:t xml:space="preserve">2.0 </w:t>
            </w:r>
            <w:r w:rsidRPr="005D50B8">
              <w:rPr>
                <w:sz w:val="20"/>
              </w:rPr>
              <w:t>Lidia Mayer</w:t>
            </w:r>
            <w:r>
              <w:rPr>
                <w:sz w:val="20"/>
              </w:rPr>
              <w:t xml:space="preserve"> reviewed and updated 18 October 2019</w:t>
            </w:r>
          </w:p>
          <w:p w14:paraId="7AB683FB" w14:textId="77777777" w:rsidR="00354B09" w:rsidRPr="00375D6B" w:rsidRDefault="00354B09" w:rsidP="00354B09">
            <w:pPr>
              <w:spacing w:after="0" w:line="240" w:lineRule="auto"/>
              <w:rPr>
                <w:rFonts w:cstheme="minorHAnsi"/>
                <w:sz w:val="20"/>
                <w:szCs w:val="20"/>
                <w:lang w:val="en-US"/>
              </w:rPr>
            </w:pPr>
            <w:r>
              <w:rPr>
                <w:rFonts w:cstheme="minorHAnsi"/>
                <w:sz w:val="20"/>
                <w:szCs w:val="20"/>
              </w:rPr>
              <w:t xml:space="preserve">1.0 </w:t>
            </w:r>
            <w:r w:rsidRPr="005D50B8">
              <w:rPr>
                <w:sz w:val="20"/>
              </w:rPr>
              <w:t>Lidia Mayer 6 August 2019</w:t>
            </w:r>
            <w:r>
              <w:rPr>
                <w:sz w:val="20"/>
              </w:rPr>
              <w:t xml:space="preserve">, </w:t>
            </w:r>
            <w:r w:rsidRPr="005D50B8">
              <w:rPr>
                <w:sz w:val="20"/>
              </w:rPr>
              <w:t>Virginia Murray reviewed 7 August 2019</w:t>
            </w:r>
          </w:p>
          <w:p w14:paraId="46F22493" w14:textId="77777777" w:rsidR="002922A3" w:rsidRDefault="00FC020A" w:rsidP="00A6504D">
            <w:pPr>
              <w:spacing w:after="0" w:line="240" w:lineRule="auto"/>
              <w:rPr>
                <w:rFonts w:cstheme="minorHAnsi"/>
                <w:b/>
                <w:sz w:val="20"/>
                <w:szCs w:val="20"/>
              </w:rPr>
            </w:pPr>
            <w:r>
              <w:rPr>
                <w:rFonts w:cstheme="minorHAnsi"/>
                <w:b/>
                <w:sz w:val="20"/>
                <w:szCs w:val="20"/>
              </w:rPr>
              <w:t xml:space="preserve">Initial Review: </w:t>
            </w:r>
          </w:p>
          <w:p w14:paraId="527206EC" w14:textId="77777777" w:rsidR="00347142" w:rsidRDefault="00347142" w:rsidP="00A6504D">
            <w:pPr>
              <w:spacing w:after="0" w:line="240" w:lineRule="auto"/>
              <w:rPr>
                <w:rFonts w:cstheme="minorHAnsi"/>
                <w:b/>
                <w:sz w:val="20"/>
                <w:szCs w:val="20"/>
              </w:rPr>
            </w:pPr>
            <w:r>
              <w:rPr>
                <w:rFonts w:cstheme="minorHAnsi"/>
                <w:b/>
                <w:sz w:val="20"/>
                <w:szCs w:val="20"/>
              </w:rPr>
              <w:t>Contact Email:</w:t>
            </w:r>
            <w:r w:rsidR="00354B09">
              <w:rPr>
                <w:rFonts w:cstheme="minorHAnsi"/>
                <w:b/>
                <w:sz w:val="20"/>
                <w:szCs w:val="20"/>
              </w:rPr>
              <w:t xml:space="preserve"> </w:t>
            </w:r>
            <w:hyperlink r:id="rId15" w:history="1">
              <w:r w:rsidR="00354B09" w:rsidRPr="00354B09">
                <w:rPr>
                  <w:rStyle w:val="Hyperlink"/>
                  <w:rFonts w:cstheme="minorHAnsi"/>
                  <w:sz w:val="20"/>
                  <w:szCs w:val="20"/>
                </w:rPr>
                <w:t>Virginia.Murray@phe.gov.uk</w:t>
              </w:r>
            </w:hyperlink>
            <w:r w:rsidR="00354B09">
              <w:rPr>
                <w:rFonts w:cstheme="minorHAnsi"/>
                <w:b/>
                <w:sz w:val="20"/>
                <w:szCs w:val="20"/>
              </w:rPr>
              <w:t xml:space="preserve"> </w:t>
            </w:r>
          </w:p>
          <w:p w14:paraId="7B807EAC" w14:textId="77777777" w:rsidR="00800A81" w:rsidRDefault="00800A81" w:rsidP="00A6504D">
            <w:pPr>
              <w:spacing w:after="0" w:line="240" w:lineRule="auto"/>
              <w:rPr>
                <w:rFonts w:cstheme="minorHAnsi"/>
                <w:b/>
                <w:sz w:val="20"/>
                <w:szCs w:val="20"/>
              </w:rPr>
            </w:pPr>
          </w:p>
          <w:p w14:paraId="0B887EC1" w14:textId="77777777" w:rsidR="00800A81" w:rsidRDefault="00800A81" w:rsidP="00A6504D">
            <w:pPr>
              <w:spacing w:after="0" w:line="240" w:lineRule="auto"/>
              <w:rPr>
                <w:rFonts w:cstheme="minorHAnsi"/>
                <w:b/>
                <w:sz w:val="20"/>
                <w:szCs w:val="20"/>
              </w:rPr>
            </w:pPr>
            <w:r>
              <w:rPr>
                <w:rFonts w:cstheme="minorHAnsi"/>
                <w:b/>
                <w:sz w:val="20"/>
                <w:szCs w:val="20"/>
              </w:rPr>
              <w:t xml:space="preserve">External reviewers include John Duffus, Mike Schwenk, </w:t>
            </w:r>
            <w:r w:rsidR="00A277B4">
              <w:rPr>
                <w:rFonts w:cstheme="minorHAnsi"/>
                <w:b/>
                <w:sz w:val="20"/>
                <w:szCs w:val="20"/>
              </w:rPr>
              <w:t xml:space="preserve">IUTOX, Daniel </w:t>
            </w:r>
            <w:proofErr w:type="spellStart"/>
            <w:r w:rsidR="00A277B4">
              <w:rPr>
                <w:rFonts w:cstheme="minorHAnsi"/>
                <w:b/>
                <w:sz w:val="20"/>
                <w:szCs w:val="20"/>
              </w:rPr>
              <w:t>Vallero</w:t>
            </w:r>
            <w:proofErr w:type="spellEnd"/>
          </w:p>
          <w:p w14:paraId="0E7365BE" w14:textId="77777777" w:rsidR="00800A81" w:rsidRDefault="00800A81" w:rsidP="00A6504D">
            <w:pPr>
              <w:spacing w:after="0" w:line="240" w:lineRule="auto"/>
              <w:rPr>
                <w:rFonts w:cstheme="minorHAnsi"/>
                <w:b/>
                <w:sz w:val="20"/>
                <w:szCs w:val="20"/>
              </w:rPr>
            </w:pPr>
          </w:p>
          <w:p w14:paraId="7C12E344" w14:textId="77777777" w:rsidR="00800A81" w:rsidRPr="0062205C" w:rsidRDefault="00800A81" w:rsidP="00A6504D">
            <w:pPr>
              <w:spacing w:after="0" w:line="240" w:lineRule="auto"/>
              <w:rPr>
                <w:rFonts w:cstheme="minorHAnsi"/>
                <w:b/>
                <w:sz w:val="20"/>
                <w:szCs w:val="20"/>
              </w:rPr>
            </w:pPr>
            <w:r>
              <w:rPr>
                <w:rFonts w:cstheme="minorHAnsi"/>
                <w:b/>
                <w:sz w:val="20"/>
                <w:szCs w:val="20"/>
              </w:rPr>
              <w:t>F</w:t>
            </w:r>
            <w:r w:rsidR="00A277B4">
              <w:rPr>
                <w:rFonts w:cstheme="minorHAnsi"/>
                <w:b/>
                <w:sz w:val="20"/>
                <w:szCs w:val="20"/>
              </w:rPr>
              <w:t>I</w:t>
            </w:r>
            <w:r>
              <w:rPr>
                <w:rFonts w:cstheme="minorHAnsi"/>
                <w:b/>
                <w:sz w:val="20"/>
                <w:szCs w:val="20"/>
              </w:rPr>
              <w:t>NAL Virginia Murray 3 September 2020</w:t>
            </w:r>
          </w:p>
        </w:tc>
      </w:tr>
      <w:bookmarkEnd w:id="0"/>
      <w:bookmarkEnd w:id="1"/>
    </w:tbl>
    <w:p w14:paraId="1BD9D008" w14:textId="77777777" w:rsidR="009F69D4" w:rsidRPr="0062205C" w:rsidRDefault="009F69D4" w:rsidP="009F69D4">
      <w:pPr>
        <w:rPr>
          <w:rFonts w:cstheme="minorHAnsi"/>
          <w:sz w:val="20"/>
          <w:szCs w:val="20"/>
        </w:rPr>
      </w:pPr>
    </w:p>
    <w:sectPr w:rsidR="009F69D4" w:rsidRPr="006220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6A48F" w14:textId="77777777" w:rsidR="0087405F" w:rsidRDefault="0087405F" w:rsidP="00C46D5E">
      <w:pPr>
        <w:spacing w:after="0" w:line="240" w:lineRule="auto"/>
      </w:pPr>
      <w:r>
        <w:separator/>
      </w:r>
    </w:p>
  </w:endnote>
  <w:endnote w:type="continuationSeparator" w:id="0">
    <w:p w14:paraId="3DCE68D8" w14:textId="77777777" w:rsidR="0087405F" w:rsidRDefault="0087405F" w:rsidP="00C46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67FCA" w14:textId="77777777" w:rsidR="0087405F" w:rsidRDefault="0087405F" w:rsidP="00C46D5E">
      <w:pPr>
        <w:spacing w:after="0" w:line="240" w:lineRule="auto"/>
      </w:pPr>
      <w:r>
        <w:separator/>
      </w:r>
    </w:p>
  </w:footnote>
  <w:footnote w:type="continuationSeparator" w:id="0">
    <w:p w14:paraId="21538710" w14:textId="77777777" w:rsidR="0087405F" w:rsidRDefault="0087405F" w:rsidP="00C46D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4779F"/>
    <w:multiLevelType w:val="hybridMultilevel"/>
    <w:tmpl w:val="DE6ECC74"/>
    <w:lvl w:ilvl="0" w:tplc="FE1C43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008E4"/>
    <w:multiLevelType w:val="hybridMultilevel"/>
    <w:tmpl w:val="7B3A0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804A5B"/>
    <w:multiLevelType w:val="multilevel"/>
    <w:tmpl w:val="8E82B3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ACC4ABC"/>
    <w:multiLevelType w:val="hybridMultilevel"/>
    <w:tmpl w:val="B082E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AC5D02"/>
    <w:multiLevelType w:val="hybridMultilevel"/>
    <w:tmpl w:val="F69C4AAC"/>
    <w:lvl w:ilvl="0" w:tplc="FE1C43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0F5867"/>
    <w:multiLevelType w:val="hybridMultilevel"/>
    <w:tmpl w:val="7CA2B47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ED1DDD"/>
    <w:multiLevelType w:val="hybridMultilevel"/>
    <w:tmpl w:val="980212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21F60E7"/>
    <w:multiLevelType w:val="hybridMultilevel"/>
    <w:tmpl w:val="EEBE8EE0"/>
    <w:lvl w:ilvl="0" w:tplc="FE1C434A">
      <w:numFmt w:val="bullet"/>
      <w:lvlText w:val="•"/>
      <w:lvlJc w:val="left"/>
      <w:pPr>
        <w:ind w:left="1332" w:hanging="360"/>
      </w:pPr>
      <w:rPr>
        <w:rFonts w:ascii="Calibri" w:eastAsiaTheme="minorHAnsi" w:hAnsi="Calibri" w:cs="Calibri" w:hint="default"/>
      </w:rPr>
    </w:lvl>
    <w:lvl w:ilvl="1" w:tplc="08090003" w:tentative="1">
      <w:start w:val="1"/>
      <w:numFmt w:val="bullet"/>
      <w:lvlText w:val="o"/>
      <w:lvlJc w:val="left"/>
      <w:pPr>
        <w:ind w:left="2052" w:hanging="360"/>
      </w:pPr>
      <w:rPr>
        <w:rFonts w:ascii="Courier New" w:hAnsi="Courier New" w:cs="Courier New" w:hint="default"/>
      </w:rPr>
    </w:lvl>
    <w:lvl w:ilvl="2" w:tplc="08090005" w:tentative="1">
      <w:start w:val="1"/>
      <w:numFmt w:val="bullet"/>
      <w:lvlText w:val=""/>
      <w:lvlJc w:val="left"/>
      <w:pPr>
        <w:ind w:left="2772" w:hanging="360"/>
      </w:pPr>
      <w:rPr>
        <w:rFonts w:ascii="Wingdings" w:hAnsi="Wingdings" w:hint="default"/>
      </w:rPr>
    </w:lvl>
    <w:lvl w:ilvl="3" w:tplc="08090001" w:tentative="1">
      <w:start w:val="1"/>
      <w:numFmt w:val="bullet"/>
      <w:lvlText w:val=""/>
      <w:lvlJc w:val="left"/>
      <w:pPr>
        <w:ind w:left="3492" w:hanging="360"/>
      </w:pPr>
      <w:rPr>
        <w:rFonts w:ascii="Symbol" w:hAnsi="Symbol" w:hint="default"/>
      </w:rPr>
    </w:lvl>
    <w:lvl w:ilvl="4" w:tplc="08090003" w:tentative="1">
      <w:start w:val="1"/>
      <w:numFmt w:val="bullet"/>
      <w:lvlText w:val="o"/>
      <w:lvlJc w:val="left"/>
      <w:pPr>
        <w:ind w:left="4212" w:hanging="360"/>
      </w:pPr>
      <w:rPr>
        <w:rFonts w:ascii="Courier New" w:hAnsi="Courier New" w:cs="Courier New" w:hint="default"/>
      </w:rPr>
    </w:lvl>
    <w:lvl w:ilvl="5" w:tplc="08090005" w:tentative="1">
      <w:start w:val="1"/>
      <w:numFmt w:val="bullet"/>
      <w:lvlText w:val=""/>
      <w:lvlJc w:val="left"/>
      <w:pPr>
        <w:ind w:left="4932" w:hanging="360"/>
      </w:pPr>
      <w:rPr>
        <w:rFonts w:ascii="Wingdings" w:hAnsi="Wingdings" w:hint="default"/>
      </w:rPr>
    </w:lvl>
    <w:lvl w:ilvl="6" w:tplc="08090001" w:tentative="1">
      <w:start w:val="1"/>
      <w:numFmt w:val="bullet"/>
      <w:lvlText w:val=""/>
      <w:lvlJc w:val="left"/>
      <w:pPr>
        <w:ind w:left="5652" w:hanging="360"/>
      </w:pPr>
      <w:rPr>
        <w:rFonts w:ascii="Symbol" w:hAnsi="Symbol" w:hint="default"/>
      </w:rPr>
    </w:lvl>
    <w:lvl w:ilvl="7" w:tplc="08090003" w:tentative="1">
      <w:start w:val="1"/>
      <w:numFmt w:val="bullet"/>
      <w:lvlText w:val="o"/>
      <w:lvlJc w:val="left"/>
      <w:pPr>
        <w:ind w:left="6372" w:hanging="360"/>
      </w:pPr>
      <w:rPr>
        <w:rFonts w:ascii="Courier New" w:hAnsi="Courier New" w:cs="Courier New" w:hint="default"/>
      </w:rPr>
    </w:lvl>
    <w:lvl w:ilvl="8" w:tplc="08090005" w:tentative="1">
      <w:start w:val="1"/>
      <w:numFmt w:val="bullet"/>
      <w:lvlText w:val=""/>
      <w:lvlJc w:val="left"/>
      <w:pPr>
        <w:ind w:left="7092" w:hanging="360"/>
      </w:pPr>
      <w:rPr>
        <w:rFonts w:ascii="Wingdings" w:hAnsi="Wingdings" w:hint="default"/>
      </w:rPr>
    </w:lvl>
  </w:abstractNum>
  <w:abstractNum w:abstractNumId="8" w15:restartNumberingAfterBreak="0">
    <w:nsid w:val="56FF3D0B"/>
    <w:multiLevelType w:val="hybridMultilevel"/>
    <w:tmpl w:val="FB349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883C4D"/>
    <w:multiLevelType w:val="hybridMultilevel"/>
    <w:tmpl w:val="44A629C0"/>
    <w:lvl w:ilvl="0" w:tplc="08090003">
      <w:start w:val="1"/>
      <w:numFmt w:val="bullet"/>
      <w:lvlText w:val="o"/>
      <w:lvlJc w:val="left"/>
      <w:pPr>
        <w:ind w:left="1332" w:hanging="360"/>
      </w:pPr>
      <w:rPr>
        <w:rFonts w:ascii="Courier New" w:hAnsi="Courier New" w:cs="Courier New" w:hint="default"/>
      </w:rPr>
    </w:lvl>
    <w:lvl w:ilvl="1" w:tplc="08090003" w:tentative="1">
      <w:start w:val="1"/>
      <w:numFmt w:val="bullet"/>
      <w:lvlText w:val="o"/>
      <w:lvlJc w:val="left"/>
      <w:pPr>
        <w:ind w:left="2052" w:hanging="360"/>
      </w:pPr>
      <w:rPr>
        <w:rFonts w:ascii="Courier New" w:hAnsi="Courier New" w:cs="Courier New" w:hint="default"/>
      </w:rPr>
    </w:lvl>
    <w:lvl w:ilvl="2" w:tplc="08090005" w:tentative="1">
      <w:start w:val="1"/>
      <w:numFmt w:val="bullet"/>
      <w:lvlText w:val=""/>
      <w:lvlJc w:val="left"/>
      <w:pPr>
        <w:ind w:left="2772" w:hanging="360"/>
      </w:pPr>
      <w:rPr>
        <w:rFonts w:ascii="Wingdings" w:hAnsi="Wingdings" w:hint="default"/>
      </w:rPr>
    </w:lvl>
    <w:lvl w:ilvl="3" w:tplc="08090001" w:tentative="1">
      <w:start w:val="1"/>
      <w:numFmt w:val="bullet"/>
      <w:lvlText w:val=""/>
      <w:lvlJc w:val="left"/>
      <w:pPr>
        <w:ind w:left="3492" w:hanging="360"/>
      </w:pPr>
      <w:rPr>
        <w:rFonts w:ascii="Symbol" w:hAnsi="Symbol" w:hint="default"/>
      </w:rPr>
    </w:lvl>
    <w:lvl w:ilvl="4" w:tplc="08090003" w:tentative="1">
      <w:start w:val="1"/>
      <w:numFmt w:val="bullet"/>
      <w:lvlText w:val="o"/>
      <w:lvlJc w:val="left"/>
      <w:pPr>
        <w:ind w:left="4212" w:hanging="360"/>
      </w:pPr>
      <w:rPr>
        <w:rFonts w:ascii="Courier New" w:hAnsi="Courier New" w:cs="Courier New" w:hint="default"/>
      </w:rPr>
    </w:lvl>
    <w:lvl w:ilvl="5" w:tplc="08090005" w:tentative="1">
      <w:start w:val="1"/>
      <w:numFmt w:val="bullet"/>
      <w:lvlText w:val=""/>
      <w:lvlJc w:val="left"/>
      <w:pPr>
        <w:ind w:left="4932" w:hanging="360"/>
      </w:pPr>
      <w:rPr>
        <w:rFonts w:ascii="Wingdings" w:hAnsi="Wingdings" w:hint="default"/>
      </w:rPr>
    </w:lvl>
    <w:lvl w:ilvl="6" w:tplc="08090001" w:tentative="1">
      <w:start w:val="1"/>
      <w:numFmt w:val="bullet"/>
      <w:lvlText w:val=""/>
      <w:lvlJc w:val="left"/>
      <w:pPr>
        <w:ind w:left="5652" w:hanging="360"/>
      </w:pPr>
      <w:rPr>
        <w:rFonts w:ascii="Symbol" w:hAnsi="Symbol" w:hint="default"/>
      </w:rPr>
    </w:lvl>
    <w:lvl w:ilvl="7" w:tplc="08090003" w:tentative="1">
      <w:start w:val="1"/>
      <w:numFmt w:val="bullet"/>
      <w:lvlText w:val="o"/>
      <w:lvlJc w:val="left"/>
      <w:pPr>
        <w:ind w:left="6372" w:hanging="360"/>
      </w:pPr>
      <w:rPr>
        <w:rFonts w:ascii="Courier New" w:hAnsi="Courier New" w:cs="Courier New" w:hint="default"/>
      </w:rPr>
    </w:lvl>
    <w:lvl w:ilvl="8" w:tplc="08090005" w:tentative="1">
      <w:start w:val="1"/>
      <w:numFmt w:val="bullet"/>
      <w:lvlText w:val=""/>
      <w:lvlJc w:val="left"/>
      <w:pPr>
        <w:ind w:left="7092" w:hanging="360"/>
      </w:pPr>
      <w:rPr>
        <w:rFonts w:ascii="Wingdings" w:hAnsi="Wingdings" w:hint="default"/>
      </w:rPr>
    </w:lvl>
  </w:abstractNum>
  <w:abstractNum w:abstractNumId="10" w15:restartNumberingAfterBreak="0">
    <w:nsid w:val="7BCE6306"/>
    <w:multiLevelType w:val="hybridMultilevel"/>
    <w:tmpl w:val="617EBB10"/>
    <w:lvl w:ilvl="0" w:tplc="FE1C43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1"/>
  </w:num>
  <w:num w:numId="5">
    <w:abstractNumId w:val="3"/>
  </w:num>
  <w:num w:numId="6">
    <w:abstractNumId w:val="4"/>
  </w:num>
  <w:num w:numId="7">
    <w:abstractNumId w:val="10"/>
  </w:num>
  <w:num w:numId="8">
    <w:abstractNumId w:val="7"/>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9D4"/>
    <w:rsid w:val="000150E5"/>
    <w:rsid w:val="00037C7C"/>
    <w:rsid w:val="000713CE"/>
    <w:rsid w:val="00086ED1"/>
    <w:rsid w:val="000D30AE"/>
    <w:rsid w:val="00122FAA"/>
    <w:rsid w:val="00184491"/>
    <w:rsid w:val="001970EF"/>
    <w:rsid w:val="002922A3"/>
    <w:rsid w:val="002F1DBE"/>
    <w:rsid w:val="002F529B"/>
    <w:rsid w:val="00347142"/>
    <w:rsid w:val="00354B09"/>
    <w:rsid w:val="0036442B"/>
    <w:rsid w:val="00384C20"/>
    <w:rsid w:val="003B0DA2"/>
    <w:rsid w:val="003B4B6B"/>
    <w:rsid w:val="003D5719"/>
    <w:rsid w:val="003E2591"/>
    <w:rsid w:val="003F6A59"/>
    <w:rsid w:val="00480F80"/>
    <w:rsid w:val="005170A2"/>
    <w:rsid w:val="005235A6"/>
    <w:rsid w:val="00584EBB"/>
    <w:rsid w:val="005B0FF3"/>
    <w:rsid w:val="005E74E7"/>
    <w:rsid w:val="0062205C"/>
    <w:rsid w:val="0068214C"/>
    <w:rsid w:val="006D2182"/>
    <w:rsid w:val="00711CB0"/>
    <w:rsid w:val="007353D8"/>
    <w:rsid w:val="00737D25"/>
    <w:rsid w:val="007560A1"/>
    <w:rsid w:val="007704B9"/>
    <w:rsid w:val="00790FA5"/>
    <w:rsid w:val="007C2059"/>
    <w:rsid w:val="007C407A"/>
    <w:rsid w:val="007D5591"/>
    <w:rsid w:val="00800A81"/>
    <w:rsid w:val="00854E13"/>
    <w:rsid w:val="0087405F"/>
    <w:rsid w:val="008978B6"/>
    <w:rsid w:val="009A7B84"/>
    <w:rsid w:val="009C69B6"/>
    <w:rsid w:val="009F69D4"/>
    <w:rsid w:val="00A277B4"/>
    <w:rsid w:val="00A47535"/>
    <w:rsid w:val="00A6504D"/>
    <w:rsid w:val="00A84621"/>
    <w:rsid w:val="00AA45EE"/>
    <w:rsid w:val="00AD5355"/>
    <w:rsid w:val="00B01BE3"/>
    <w:rsid w:val="00B152D5"/>
    <w:rsid w:val="00B17E99"/>
    <w:rsid w:val="00B30BD1"/>
    <w:rsid w:val="00B43DDF"/>
    <w:rsid w:val="00B56543"/>
    <w:rsid w:val="00B664CD"/>
    <w:rsid w:val="00BE08D7"/>
    <w:rsid w:val="00C319E3"/>
    <w:rsid w:val="00C46D5E"/>
    <w:rsid w:val="00C7168B"/>
    <w:rsid w:val="00C857DC"/>
    <w:rsid w:val="00C925C4"/>
    <w:rsid w:val="00CE150A"/>
    <w:rsid w:val="00DA38A3"/>
    <w:rsid w:val="00E53A5E"/>
    <w:rsid w:val="00E54DA3"/>
    <w:rsid w:val="00E944E7"/>
    <w:rsid w:val="00E979C4"/>
    <w:rsid w:val="00ED3F33"/>
    <w:rsid w:val="00EF1C9E"/>
    <w:rsid w:val="00F61A98"/>
    <w:rsid w:val="00F86E03"/>
    <w:rsid w:val="00FC020A"/>
    <w:rsid w:val="00FD1A86"/>
    <w:rsid w:val="00FE41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36A5"/>
  <w15:docId w15:val="{9E273A66-16AF-49FC-9891-8BCB5758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F69D4"/>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69D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46D5E"/>
    <w:pPr>
      <w:spacing w:after="0" w:line="240" w:lineRule="auto"/>
    </w:pPr>
    <w:rPr>
      <w:rFonts w:ascii="Verdana" w:eastAsiaTheme="minorEastAsia" w:hAnsi="Verdana"/>
      <w:sz w:val="20"/>
      <w:szCs w:val="20"/>
      <w:lang w:eastAsia="zh-CN"/>
    </w:rPr>
  </w:style>
  <w:style w:type="character" w:customStyle="1" w:styleId="FootnoteTextChar">
    <w:name w:val="Footnote Text Char"/>
    <w:basedOn w:val="DefaultParagraphFont"/>
    <w:link w:val="FootnoteText"/>
    <w:uiPriority w:val="99"/>
    <w:semiHidden/>
    <w:rsid w:val="00C46D5E"/>
    <w:rPr>
      <w:rFonts w:ascii="Verdana" w:eastAsiaTheme="minorEastAsia" w:hAnsi="Verdana"/>
      <w:sz w:val="20"/>
      <w:szCs w:val="20"/>
      <w:lang w:val="en-GB" w:eastAsia="zh-CN"/>
    </w:rPr>
  </w:style>
  <w:style w:type="character" w:styleId="FootnoteReference">
    <w:name w:val="footnote reference"/>
    <w:basedOn w:val="DefaultParagraphFont"/>
    <w:uiPriority w:val="99"/>
    <w:semiHidden/>
    <w:unhideWhenUsed/>
    <w:rsid w:val="00C46D5E"/>
    <w:rPr>
      <w:vertAlign w:val="superscript"/>
    </w:rPr>
  </w:style>
  <w:style w:type="character" w:styleId="Hyperlink">
    <w:name w:val="Hyperlink"/>
    <w:basedOn w:val="DefaultParagraphFont"/>
    <w:uiPriority w:val="99"/>
    <w:unhideWhenUsed/>
    <w:rsid w:val="00C46D5E"/>
    <w:rPr>
      <w:color w:val="0000FF" w:themeColor="hyperlink"/>
      <w:u w:val="single"/>
    </w:rPr>
  </w:style>
  <w:style w:type="paragraph" w:styleId="ListParagraph">
    <w:name w:val="List Paragraph"/>
    <w:basedOn w:val="Normal"/>
    <w:uiPriority w:val="34"/>
    <w:qFormat/>
    <w:rsid w:val="00C46D5E"/>
    <w:pPr>
      <w:spacing w:after="200" w:line="276" w:lineRule="auto"/>
      <w:ind w:left="720"/>
      <w:contextualSpacing/>
    </w:pPr>
    <w:rPr>
      <w:rFonts w:ascii="Verdana" w:eastAsiaTheme="minorEastAsia" w:hAnsi="Verdana"/>
      <w:sz w:val="20"/>
      <w:lang w:eastAsia="zh-CN"/>
    </w:rPr>
  </w:style>
  <w:style w:type="paragraph" w:styleId="BalloonText">
    <w:name w:val="Balloon Text"/>
    <w:basedOn w:val="Normal"/>
    <w:link w:val="BalloonTextChar"/>
    <w:uiPriority w:val="99"/>
    <w:semiHidden/>
    <w:unhideWhenUsed/>
    <w:rsid w:val="00C46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D5E"/>
    <w:rPr>
      <w:rFonts w:ascii="Tahoma" w:hAnsi="Tahoma" w:cs="Tahoma"/>
      <w:sz w:val="16"/>
      <w:szCs w:val="16"/>
      <w:lang w:val="en-GB"/>
    </w:rPr>
  </w:style>
  <w:style w:type="paragraph" w:customStyle="1" w:styleId="Default">
    <w:name w:val="Default"/>
    <w:rsid w:val="00E944E7"/>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UnresolvedMention1">
    <w:name w:val="Unresolved Mention1"/>
    <w:basedOn w:val="DefaultParagraphFont"/>
    <w:uiPriority w:val="99"/>
    <w:semiHidden/>
    <w:unhideWhenUsed/>
    <w:rsid w:val="00A6504D"/>
    <w:rPr>
      <w:color w:val="808080"/>
      <w:shd w:val="clear" w:color="auto" w:fill="E6E6E6"/>
    </w:rPr>
  </w:style>
  <w:style w:type="character" w:styleId="UnresolvedMention">
    <w:name w:val="Unresolved Mention"/>
    <w:basedOn w:val="DefaultParagraphFont"/>
    <w:uiPriority w:val="99"/>
    <w:semiHidden/>
    <w:unhideWhenUsed/>
    <w:rsid w:val="007C407A"/>
    <w:rPr>
      <w:color w:val="605E5C"/>
      <w:shd w:val="clear" w:color="auto" w:fill="E1DFDD"/>
    </w:rPr>
  </w:style>
  <w:style w:type="paragraph" w:styleId="CommentText">
    <w:name w:val="annotation text"/>
    <w:basedOn w:val="Normal"/>
    <w:link w:val="CommentTextChar"/>
    <w:uiPriority w:val="99"/>
    <w:unhideWhenUsed/>
    <w:rsid w:val="00A277B4"/>
    <w:pPr>
      <w:spacing w:line="240" w:lineRule="auto"/>
    </w:pPr>
    <w:rPr>
      <w:sz w:val="20"/>
      <w:szCs w:val="20"/>
    </w:rPr>
  </w:style>
  <w:style w:type="character" w:customStyle="1" w:styleId="CommentTextChar">
    <w:name w:val="Comment Text Char"/>
    <w:basedOn w:val="DefaultParagraphFont"/>
    <w:link w:val="CommentText"/>
    <w:uiPriority w:val="99"/>
    <w:rsid w:val="00A277B4"/>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80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ilo.org/dyn/normlex/en/f?p=NORMLEXPUB:12100:0::NO::P12100_ILO_CODE:C04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pps.who.int/iris/bitstream/handle/10665/329482/WHO-CED-PHE-EPE-19.4.1-eng.pdf?ua=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lo.org/dyn/normlex/en/f?p=NORMLEXPUB:12100:0::NO::P12100_ILO_CODE:C042" TargetMode="External"/><Relationship Id="rId5" Type="http://schemas.openxmlformats.org/officeDocument/2006/relationships/styles" Target="styles.xml"/><Relationship Id="rId15" Type="http://schemas.openxmlformats.org/officeDocument/2006/relationships/hyperlink" Target="mailto:Virginia.Murray@phe.gov.uk" TargetMode="External"/><Relationship Id="rId10" Type="http://schemas.openxmlformats.org/officeDocument/2006/relationships/hyperlink" Target="https://apps.who.int/iris/bitstream/handle/10665/329482/WHO-CED-PHE-EPE-19.4.1-eng.pdf?ua=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onographs.iarc.fr/wp-content/uploads/2018/06/mono100C-6.pdf%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98CBA26D2F554EAF8B423B41D4796B" ma:contentTypeVersion="1" ma:contentTypeDescription="Create a new document." ma:contentTypeScope="" ma:versionID="970d9ccc6312930a2eb07c9447138042">
  <xsd:schema xmlns:xsd="http://www.w3.org/2001/XMLSchema" xmlns:xs="http://www.w3.org/2001/XMLSchema" xmlns:p="http://schemas.microsoft.com/office/2006/metadata/properties" xmlns:ns2="62d504d6-8485-427f-9b69-503f8561b2ad" targetNamespace="http://schemas.microsoft.com/office/2006/metadata/properties" ma:root="true" ma:fieldsID="41afbe9eeae1b128c91526df418a5810" ns2:_="">
    <xsd:import namespace="62d504d6-8485-427f-9b69-503f8561b2a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d504d6-8485-427f-9b69-503f8561b2a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042568-5717-441E-8EBD-246BEF67F0F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F825DE-AF1D-455B-93E8-D8F1AB15FD7A}">
  <ds:schemaRefs>
    <ds:schemaRef ds:uri="http://schemas.microsoft.com/sharepoint/v3/contenttype/forms"/>
  </ds:schemaRefs>
</ds:datastoreItem>
</file>

<file path=customXml/itemProps3.xml><?xml version="1.0" encoding="utf-8"?>
<ds:datastoreItem xmlns:ds="http://schemas.openxmlformats.org/officeDocument/2006/customXml" ds:itemID="{6D372158-77ED-4F24-AFF5-1B07E5176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d504d6-8485-427f-9b69-503f8561b2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Lidia</dc:creator>
  <cp:lastModifiedBy>Virginia Murray</cp:lastModifiedBy>
  <cp:revision>2</cp:revision>
  <dcterms:created xsi:type="dcterms:W3CDTF">2020-09-03T05:42:00Z</dcterms:created>
  <dcterms:modified xsi:type="dcterms:W3CDTF">2020-09-03T05:42:00Z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0x010100F398CBA26D2F554EAF8B423B41D4796B</vt:lpwstr>
  </property>
</Properties>
</file>