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160"/>
      </w:pPr>
    </w:p>
    <w:p>
      <w:pPr>
        <w:spacing w:after="200"/>
        <w:jc w:val="left"/>
      </w:pPr>
      <w:r>
        <w:rPr>
          <w:rFonts w:ascii="Consolas" w:hAnsi="Consolas" w:eastAsia="Consolas"/>
          <w:b/>
          <w:color w:val="0B544A"/>
          <w:sz w:val="17"/>
        </w:rPr>
        <w:t>GUJARAT POLICE INNOVATION HACKATHON 2026</w:t>
      </w:r>
    </w:p>
    <w:p>
      <w:pPr>
        <w:spacing w:after="80"/>
      </w:pPr>
      <w:r>
        <w:rPr>
          <w:rFonts w:ascii="Calibri" w:hAnsi="Calibri" w:eastAsia="Calibri"/>
          <w:b/>
          <w:color w:val="1A1B17"/>
          <w:sz w:val="62"/>
        </w:rPr>
        <w:t>Sentinel</w:t>
      </w:r>
    </w:p>
    <w:p>
      <w:pPr>
        <w:spacing w:after="280"/>
      </w:pPr>
      <w:r>
        <w:rPr>
          <w:rFonts w:ascii="Calibri" w:hAnsi="Calibri" w:eastAsia="Calibri"/>
          <w:b w:val="0"/>
          <w:color w:val="6E7167"/>
          <w:sz w:val="38"/>
        </w:rPr>
        <w:t>High-Level Design</w:t>
      </w:r>
    </w:p>
    <w:p>
      <w:pPr>
        <w:spacing w:after="400" w:line="293" w:lineRule="auto"/>
        <w:pBdr>
          <w:bottom w:val="single" w:sz="12" w:space="12" w:color="1A1B17"/>
        </w:pBdr>
      </w:pPr>
      <w:r>
        <w:rPr>
          <w:rFonts w:ascii="Calibri" w:hAnsi="Calibri" w:eastAsia="Calibri"/>
          <w:color w:val="3E4139"/>
          <w:sz w:val="24"/>
        </w:rPr>
        <w:t>A central camera registry and GIS platform with read-only feed integration, live video analytics, watchlist matching, alerts, journeys and audit controls.</w:t>
      </w:r>
    </w:p>
    <w:tbl>
      <w:tblPr>
        <w:tblW w:type="dxa" w:w="9647"/>
        <w:jc w:val="center"/>
        <w:tblLayout w:type="fixed"/>
        <w:tblLook w:firstColumn="1" w:firstRow="1" w:lastColumn="0" w:lastRow="0" w:noHBand="0" w:noVBand="1" w:val="04A0"/>
        <w:tblInd w:w="0" w:type="dxa"/>
        <w:tblBorders>
          <w:top w:val="single" w:sz="6" w:space="0" w:color="D9D4C6"/>
          <w:left w:val="single" w:sz="6" w:space="0" w:color="D9D4C6"/>
          <w:bottom w:val="single" w:sz="6" w:space="0" w:color="D9D4C6"/>
          <w:right w:val="single" w:sz="6" w:space="0" w:color="D9D4C6"/>
          <w:insideH w:val="single" w:sz="6" w:space="0" w:color="D9D4C6"/>
          <w:insideV w:val="single" w:sz="6" w:space="0" w:color="D9D4C6"/>
        </w:tblBorders>
      </w:tblPr>
      <w:tblGrid>
        <w:gridCol w:w="1944"/>
        <w:gridCol w:w="7703"/>
      </w:tblGrid>
      <w:tr>
        <w:trPr>
          <w:cantSplit/>
        </w:trPr>
        <w:tc>
          <w:tcPr>
            <w:tcW w:type="dxa" w:w="1944"/>
            <w:tcMar>
              <w:top w:w="115" w:type="dxa"/>
              <w:start w:w="100" w:type="dxa"/>
              <w:bottom w:w="115" w:type="dxa"/>
              <w:end w:w="100" w:type="dxa"/>
            </w:tcMar>
            <w:shd w:fill="E3EDE8"/>
          </w:tcPr>
          <w:p>
            <w:pPr>
              <w:spacing w:after="0"/>
            </w:pPr>
            <w:r>
              <w:rPr>
                <w:rFonts w:ascii="Consolas" w:hAnsi="Consolas" w:eastAsia="Consolas"/>
                <w:b/>
                <w:color w:val="0B544A"/>
                <w:sz w:val="16"/>
              </w:rPr>
              <w:t>DATE</w:t>
            </w:r>
          </w:p>
        </w:tc>
        <w:tc>
          <w:tcPr>
            <w:tcW w:type="dxa" w:w="7703"/>
            <w:tcMar>
              <w:top w:w="115" w:type="dxa"/>
              <w:start w:w="100" w:type="dxa"/>
              <w:bottom w:w="115" w:type="dxa"/>
              <w:end w:w="100" w:type="dxa"/>
            </w:tcMar>
          </w:tcPr>
          <w:p>
            <w:pPr>
              <w:spacing w:after="0"/>
            </w:pPr>
            <w:r>
              <w:rPr>
                <w:rFonts w:ascii="Calibri" w:hAnsi="Calibri" w:eastAsia="Calibri"/>
                <w:color w:val="3E4139"/>
                <w:sz w:val="20"/>
              </w:rPr>
              <w:t>1 September 2026</w:t>
            </w:r>
          </w:p>
        </w:tc>
      </w:tr>
      <w:tr>
        <w:trPr>
          <w:cantSplit/>
        </w:trPr>
        <w:tc>
          <w:tcPr>
            <w:tcW w:type="dxa" w:w="1944"/>
            <w:tcMar>
              <w:top w:w="115" w:type="dxa"/>
              <w:start w:w="100" w:type="dxa"/>
              <w:bottom w:w="115" w:type="dxa"/>
              <w:end w:w="100" w:type="dxa"/>
            </w:tcMar>
            <w:shd w:fill="E3EDE8"/>
          </w:tcPr>
          <w:p>
            <w:pPr>
              <w:spacing w:after="0"/>
            </w:pPr>
            <w:r>
              <w:rPr>
                <w:rFonts w:ascii="Consolas" w:hAnsi="Consolas" w:eastAsia="Consolas"/>
                <w:b/>
                <w:color w:val="0B544A"/>
                <w:sz w:val="16"/>
              </w:rPr>
              <w:t>ARCHITECTURE</w:t>
            </w:r>
          </w:p>
        </w:tc>
        <w:tc>
          <w:tcPr>
            <w:tcW w:type="dxa" w:w="7703"/>
            <w:tcMar>
              <w:top w:w="115" w:type="dxa"/>
              <w:start w:w="100" w:type="dxa"/>
              <w:bottom w:w="115" w:type="dxa"/>
              <w:end w:w="100" w:type="dxa"/>
            </w:tcMar>
          </w:tcPr>
          <w:p>
            <w:pPr>
              <w:spacing w:after="0"/>
            </w:pPr>
            <w:r>
              <w:rPr>
                <w:rFonts w:ascii="Calibri" w:hAnsi="Calibri" w:eastAsia="Calibri"/>
                <w:color w:val="3E4139"/>
                <w:sz w:val="20"/>
              </w:rPr>
              <w:t>Central registry and GIS, direct read-only feed integration, separate analytics workers and an authenticated operator console</w:t>
            </w:r>
          </w:p>
        </w:tc>
      </w:tr>
    </w:tbl>
    <w:p>
      <w:pPr>
        <w:spacing w:after="1280"/>
      </w:pPr>
    </w:p>
    <w:p>
      <w:pPr>
        <w:spacing w:after="80"/>
      </w:pPr>
      <w:r>
        <w:rPr>
          <w:rFonts w:ascii="Calibri" w:hAnsi="Calibri" w:eastAsia="Calibri"/>
          <w:color w:val="6E7167"/>
          <w:sz w:val="21"/>
        </w:rPr>
        <w:t xml:space="preserve">Built by </w:t>
      </w:r>
      <w:r>
        <w:rPr>
          <w:rFonts w:ascii="Calibri" w:hAnsi="Calibri" w:eastAsia="Calibri"/>
          <w:b/>
          <w:color w:val="1A1B17"/>
          <w:sz w:val="21"/>
        </w:rPr>
        <w:t>Vatsal Mehta, Sidharth Chakrat and Pratham Shah</w:t>
      </w:r>
    </w:p>
    <w:p>
      <w:pPr>
        <w:spacing w:after="0"/>
      </w:pPr>
      <w:r>
        <w:rPr>
          <w:rFonts w:ascii="Calibri" w:hAnsi="Calibri" w:eastAsia="Calibri"/>
          <w:i/>
          <w:color w:val="0B544A"/>
          <w:sz w:val="20"/>
        </w:rPr>
        <w:t>Gujarat Police Innovation Hackathon 2026 CCTV Integration Challenge (Sentinel)</w:t>
      </w:r>
    </w:p>
    <w:p>
      <w:r>
        <w:br w:type="page"/>
      </w:r>
    </w:p>
    <w:p>
      <w:pPr>
        <w:spacing w:after="240"/>
        <w:pBdr>
          <w:bottom w:val="single" w:sz="10" w:space="7" w:color="1A1B17"/>
        </w:pBdr>
      </w:pPr>
      <w:r>
        <w:rPr>
          <w:rFonts w:ascii="Calibri" w:hAnsi="Calibri" w:eastAsia="Calibri"/>
          <w:b/>
          <w:color w:val="1A1B17"/>
          <w:sz w:val="42"/>
        </w:rPr>
        <w:t>Contents</w:t>
      </w:r>
    </w:p>
    <w:p>
      <w:pPr>
        <w:spacing w:after="140"/>
      </w:pPr>
      <w:r>
        <w:rPr>
          <w:rFonts w:ascii="Consolas" w:hAnsi="Consolas" w:eastAsia="Consolas"/>
          <w:b/>
          <w:color w:val="0F6A5E"/>
          <w:sz w:val="19"/>
        </w:rPr>
        <w:t xml:space="preserve"> 1   </w:t>
      </w:r>
      <w:r>
        <w:rPr>
          <w:rFonts w:ascii="Calibri" w:hAnsi="Calibri" w:eastAsia="Calibri"/>
          <w:color w:val="3E4139"/>
          <w:sz w:val="22"/>
        </w:rPr>
        <w:t>System purpose</w:t>
      </w:r>
    </w:p>
    <w:p>
      <w:pPr>
        <w:spacing w:after="140"/>
      </w:pPr>
      <w:r>
        <w:rPr>
          <w:rFonts w:ascii="Consolas" w:hAnsi="Consolas" w:eastAsia="Consolas"/>
          <w:b/>
          <w:color w:val="0F6A5E"/>
          <w:sz w:val="19"/>
        </w:rPr>
        <w:t xml:space="preserve"> 2   </w:t>
      </w:r>
      <w:r>
        <w:rPr>
          <w:rFonts w:ascii="Calibri" w:hAnsi="Calibri" w:eastAsia="Calibri"/>
          <w:color w:val="3E4139"/>
          <w:sz w:val="22"/>
        </w:rPr>
        <w:t>Detailed component architecture</w:t>
      </w:r>
    </w:p>
    <w:p>
      <w:pPr>
        <w:spacing w:after="140"/>
      </w:pPr>
      <w:r>
        <w:rPr>
          <w:rFonts w:ascii="Consolas" w:hAnsi="Consolas" w:eastAsia="Consolas"/>
          <w:b/>
          <w:color w:val="0F6A5E"/>
          <w:sz w:val="19"/>
        </w:rPr>
        <w:t xml:space="preserve"> 3   </w:t>
      </w:r>
      <w:r>
        <w:rPr>
          <w:rFonts w:ascii="Calibri" w:hAnsi="Calibri" w:eastAsia="Calibri"/>
          <w:color w:val="3E4139"/>
          <w:sz w:val="22"/>
        </w:rPr>
        <w:t>Deployment and runtime topology</w:t>
      </w:r>
    </w:p>
    <w:p>
      <w:pPr>
        <w:spacing w:after="140"/>
      </w:pPr>
      <w:r>
        <w:rPr>
          <w:rFonts w:ascii="Consolas" w:hAnsi="Consolas" w:eastAsia="Consolas"/>
          <w:b/>
          <w:color w:val="0F6A5E"/>
          <w:sz w:val="19"/>
        </w:rPr>
        <w:t xml:space="preserve"> 4   </w:t>
      </w:r>
      <w:r>
        <w:rPr>
          <w:rFonts w:ascii="Calibri" w:hAnsi="Calibri" w:eastAsia="Calibri"/>
          <w:color w:val="3E4139"/>
          <w:sz w:val="22"/>
        </w:rPr>
        <w:t>Observation to alert sequence</w:t>
      </w:r>
    </w:p>
    <w:p>
      <w:pPr>
        <w:spacing w:after="140"/>
      </w:pPr>
      <w:r>
        <w:rPr>
          <w:rFonts w:ascii="Consolas" w:hAnsi="Consolas" w:eastAsia="Consolas"/>
          <w:b/>
          <w:color w:val="0F6A5E"/>
          <w:sz w:val="19"/>
        </w:rPr>
        <w:t xml:space="preserve"> 5   </w:t>
      </w:r>
      <w:r>
        <w:rPr>
          <w:rFonts w:ascii="Calibri" w:hAnsi="Calibri" w:eastAsia="Calibri"/>
          <w:color w:val="3E4139"/>
          <w:sz w:val="22"/>
        </w:rPr>
        <w:t>Integrating cameras, NVRs and VMS</w:t>
      </w:r>
    </w:p>
    <w:p>
      <w:pPr>
        <w:spacing w:after="140"/>
      </w:pPr>
      <w:r>
        <w:rPr>
          <w:rFonts w:ascii="Consolas" w:hAnsi="Consolas" w:eastAsia="Consolas"/>
          <w:b/>
          <w:color w:val="0F6A5E"/>
          <w:sz w:val="19"/>
        </w:rPr>
        <w:t xml:space="preserve"> 6   </w:t>
      </w:r>
      <w:r>
        <w:rPr>
          <w:rFonts w:ascii="Calibri" w:hAnsi="Calibri" w:eastAsia="Calibri"/>
          <w:color w:val="3E4139"/>
          <w:sz w:val="22"/>
        </w:rPr>
        <w:t>Live stream ingestion and processing</w:t>
      </w:r>
    </w:p>
    <w:p>
      <w:pPr>
        <w:spacing w:after="140"/>
      </w:pPr>
      <w:r>
        <w:rPr>
          <w:rFonts w:ascii="Consolas" w:hAnsi="Consolas" w:eastAsia="Consolas"/>
          <w:b/>
          <w:color w:val="0F6A5E"/>
          <w:sz w:val="19"/>
        </w:rPr>
        <w:t xml:space="preserve"> 7   </w:t>
      </w:r>
      <w:r>
        <w:rPr>
          <w:rFonts w:ascii="Calibri" w:hAnsi="Calibri" w:eastAsia="Calibri"/>
          <w:color w:val="3E4139"/>
          <w:sz w:val="22"/>
        </w:rPr>
        <w:t>Analytics, watchlists and investigation</w:t>
      </w:r>
    </w:p>
    <w:p>
      <w:pPr>
        <w:spacing w:after="140"/>
      </w:pPr>
      <w:r>
        <w:rPr>
          <w:rFonts w:ascii="Consolas" w:hAnsi="Consolas" w:eastAsia="Consolas"/>
          <w:b/>
          <w:color w:val="0F6A5E"/>
          <w:sz w:val="19"/>
        </w:rPr>
        <w:t xml:space="preserve"> 8   </w:t>
      </w:r>
      <w:r>
        <w:rPr>
          <w:rFonts w:ascii="Calibri" w:hAnsi="Calibri" w:eastAsia="Calibri"/>
          <w:color w:val="3E4139"/>
          <w:sz w:val="22"/>
        </w:rPr>
        <w:t>Alert workflow and operator console</w:t>
      </w:r>
    </w:p>
    <w:p>
      <w:pPr>
        <w:spacing w:after="140"/>
      </w:pPr>
      <w:r>
        <w:rPr>
          <w:rFonts w:ascii="Consolas" w:hAnsi="Consolas" w:eastAsia="Consolas"/>
          <w:b/>
          <w:color w:val="0F6A5E"/>
          <w:sz w:val="19"/>
        </w:rPr>
        <w:t xml:space="preserve"> 9   </w:t>
      </w:r>
      <w:r>
        <w:rPr>
          <w:rFonts w:ascii="Calibri" w:hAnsi="Calibri" w:eastAsia="Calibri"/>
          <w:color w:val="3E4139"/>
          <w:sz w:val="22"/>
        </w:rPr>
        <w:t>Target statewide architecture</w:t>
      </w:r>
    </w:p>
    <w:p>
      <w:pPr>
        <w:spacing w:after="140"/>
      </w:pPr>
      <w:r>
        <w:rPr>
          <w:rFonts w:ascii="Consolas" w:hAnsi="Consolas" w:eastAsia="Consolas"/>
          <w:b/>
          <w:color w:val="0F6A5E"/>
          <w:sz w:val="19"/>
        </w:rPr>
        <w:t xml:space="preserve">10   </w:t>
      </w:r>
      <w:r>
        <w:rPr>
          <w:rFonts w:ascii="Calibri" w:hAnsi="Calibri" w:eastAsia="Calibri"/>
          <w:color w:val="3E4139"/>
          <w:sz w:val="22"/>
        </w:rPr>
        <w:t>Logical data model</w:t>
      </w:r>
    </w:p>
    <w:p>
      <w:pPr>
        <w:spacing w:after="140"/>
      </w:pPr>
      <w:r>
        <w:rPr>
          <w:rFonts w:ascii="Consolas" w:hAnsi="Consolas" w:eastAsia="Consolas"/>
          <w:b/>
          <w:color w:val="0F6A5E"/>
          <w:sz w:val="19"/>
        </w:rPr>
        <w:t xml:space="preserve">11   </w:t>
      </w:r>
      <w:r>
        <w:rPr>
          <w:rFonts w:ascii="Calibri" w:hAnsi="Calibri" w:eastAsia="Calibri"/>
          <w:color w:val="3E4139"/>
          <w:sz w:val="22"/>
        </w:rPr>
        <w:t>Security, privacy and audit</w:t>
      </w:r>
    </w:p>
    <w:p>
      <w:pPr>
        <w:spacing w:after="140"/>
      </w:pPr>
      <w:r>
        <w:rPr>
          <w:rFonts w:ascii="Consolas" w:hAnsi="Consolas" w:eastAsia="Consolas"/>
          <w:b/>
          <w:color w:val="0F6A5E"/>
          <w:sz w:val="19"/>
        </w:rPr>
        <w:t xml:space="preserve">12   </w:t>
      </w:r>
      <w:r>
        <w:rPr>
          <w:rFonts w:ascii="Calibri" w:hAnsi="Calibri" w:eastAsia="Calibri"/>
          <w:color w:val="3E4139"/>
          <w:sz w:val="22"/>
        </w:rPr>
        <w:t>Department prerequisites and assumptions</w:t>
      </w:r>
    </w:p>
    <w:p>
      <w:pPr>
        <w:spacing w:after="140"/>
      </w:pPr>
      <w:r>
        <w:rPr>
          <w:rFonts w:ascii="Consolas" w:hAnsi="Consolas" w:eastAsia="Consolas"/>
          <w:b/>
          <w:color w:val="0F6A5E"/>
          <w:sz w:val="19"/>
        </w:rPr>
        <w:t xml:space="preserve">13   </w:t>
      </w:r>
      <w:r>
        <w:rPr>
          <w:rFonts w:ascii="Calibri" w:hAnsi="Calibri" w:eastAsia="Calibri"/>
          <w:color w:val="3E4139"/>
          <w:sz w:val="22"/>
        </w:rPr>
        <w:t>Technology and measured performance</w:t>
      </w:r>
    </w:p>
    <w:p>
      <w:r>
        <w:br w:type="page"/>
      </w:r>
    </w:p>
    <w:p>
      <w:pPr>
        <w:pStyle w:val="Heading1"/>
        <w:keepNext/>
        <w:pageBreakBefore w:val="0"/>
      </w:pPr>
      <w:r>
        <w:t>1  System purpose</w:t>
      </w:r>
    </w:p>
    <w:p>
      <w:pPr>
        <w:spacing w:before="0" w:after="100" w:line="269" w:lineRule="auto"/>
        <w:jc w:val="left"/>
      </w:pPr>
      <w:r>
        <w:rPr>
          <w:rFonts w:ascii="Calibri" w:hAnsi="Calibri" w:eastAsia="Calibri"/>
          <w:i w:val="0"/>
          <w:color w:val="1A1B17"/>
          <w:sz w:val="21"/>
        </w:rPr>
        <w:t>Sentinel brings camera inventory, GIS, live viewing, analytics, watchlist matching, alerts and investigation into one department-scoped platform. It connects to authorised camera feeds without replacing departmental VMS, NVR or DVR systems.</w:t>
      </w:r>
    </w:p>
    <w:p>
      <w:pPr>
        <w:spacing w:before="0" w:after="100" w:line="269" w:lineRule="auto"/>
        <w:jc w:val="left"/>
      </w:pPr>
      <w:r>
        <w:rPr>
          <w:rFonts w:ascii="Calibri" w:hAnsi="Calibri" w:eastAsia="Calibri"/>
          <w:i w:val="0"/>
          <w:color w:val="1A1B17"/>
          <w:sz w:val="21"/>
        </w:rPr>
        <w:t>The platform stores camera and event metadata centrally. Source video stays with the existing department system unless an authorised user opens a live preview or uploads a recording for investigation. This reduces network and storage load and keeps each department's recording setup unchanged.</w:t>
      </w:r>
    </w:p>
    <w:tbl>
      <w:tblPr>
        <w:tblW w:type="dxa" w:w="9648"/>
        <w:jc w:val="center"/>
        <w:tblLayout w:type="fixed"/>
        <w:tblLook w:firstColumn="1" w:firstRow="1" w:lastColumn="0" w:lastRow="0" w:noHBand="0" w:noVBand="1" w:val="04A0"/>
        <w:tblBorders>
          <w:top w:val="single" w:sz="8" w:space="0" w:color="0F6A5E"/>
          <w:left w:val="single" w:sz="8" w:space="0" w:color="0F6A5E"/>
          <w:bottom w:val="single" w:sz="8" w:space="0" w:color="0F6A5E"/>
          <w:right w:val="single" w:sz="8" w:space="0" w:color="0F6A5E"/>
          <w:insideH w:val="single" w:sz="8" w:space="0" w:color="0F6A5E"/>
          <w:insideV w:val="single" w:sz="8" w:space="0" w:color="0F6A5E"/>
        </w:tblBorders>
      </w:tblPr>
      <w:tblGrid>
        <w:gridCol w:w="9648"/>
      </w:tblGrid>
      <w:tr>
        <w:tc>
          <w:tcPr>
            <w:tcW w:type="dxa" w:w="9648"/>
            <w:shd w:fill="E3EDE8"/>
            <w:tcMar>
              <w:top w:w="105" w:type="dxa"/>
              <w:start w:w="150" w:type="dxa"/>
              <w:bottom w:w="105" w:type="dxa"/>
              <w:end w:w="150" w:type="dxa"/>
            </w:tcMar>
          </w:tcPr>
          <w:p>
            <w:pPr>
              <w:spacing w:after="0"/>
            </w:pPr>
            <w:r>
              <w:rPr>
                <w:rFonts w:ascii="Calibri" w:hAnsi="Calibri" w:eastAsia="Calibri"/>
                <w:b/>
                <w:color w:val="0B544A"/>
                <w:sz w:val="18"/>
              </w:rPr>
              <w:t>METADATA-FIRST  |  READ-ONLY CONNECTORS  |  SOURCE-TIME EVENTS  |  EDGE INFERENCE  |  DEPARTMENT-SCOPED ACCESS  |  REGIONAL RELAY  |  CENTRAL GOVERNANCE</w:t>
            </w:r>
          </w:p>
        </w:tc>
      </w:tr>
    </w:tbl>
    <w:p>
      <w:pPr>
        <w:spacing w:after="40"/>
      </w:pPr>
    </w:p>
    <w:tbl>
      <w:tblPr>
        <w:tblW w:type="dxa" w:w="9648"/>
        <w:jc w:val="center"/>
        <w:tblLayout w:type="fixed"/>
        <w:tblLook w:firstColumn="1" w:firstRow="1" w:lastColumn="0" w:lastRow="0" w:noHBand="0" w:noVBand="1" w:val="04A0"/>
        <w:tblInd w:w="0" w:type="dxa"/>
        <w:tblBorders>
          <w:top w:val="single" w:sz="7" w:space="0" w:color="BDB7A5"/>
          <w:left w:val="single" w:sz="7" w:space="0" w:color="BDB7A5"/>
          <w:bottom w:val="single" w:sz="7" w:space="0" w:color="BDB7A5"/>
          <w:right w:val="single" w:sz="7" w:space="0" w:color="BDB7A5"/>
          <w:insideH w:val="single" w:sz="7" w:space="0" w:color="BDB7A5"/>
          <w:insideV w:val="single" w:sz="7" w:space="0" w:color="BDB7A5"/>
        </w:tblBorders>
      </w:tblPr>
      <w:tblGrid>
        <w:gridCol w:w="1612"/>
        <w:gridCol w:w="2678"/>
        <w:gridCol w:w="2678"/>
        <w:gridCol w:w="2678"/>
      </w:tblGrid>
      <w:tr>
        <w:trPr>
          <w:cantSplit/>
        </w:trPr>
        <w:tc>
          <w:tcPr>
            <w:tcW w:type="dxa" w:w="1612"/>
            <w:vAlign w:val="center"/>
            <w:shd w:fill="0B544A"/>
            <w:tcMar>
              <w:top w:w="130" w:type="dxa"/>
              <w:start w:w="90" w:type="dxa"/>
              <w:bottom w:w="130" w:type="dxa"/>
              <w:end w:w="90" w:type="dxa"/>
            </w:tcMar>
          </w:tcPr>
          <w:p>
            <w:pPr>
              <w:spacing w:after="0"/>
              <w:jc w:val="center"/>
            </w:pPr>
            <w:r>
              <w:rPr>
                <w:rFonts w:ascii="Consolas" w:hAnsi="Consolas" w:eastAsia="Consolas"/>
                <w:b/>
                <w:color w:val="FFFFFF"/>
                <w:sz w:val="15"/>
              </w:rPr>
              <w:t>SOURCES</w:t>
            </w:r>
          </w:p>
        </w:tc>
        <w:tc>
          <w:tcPr>
            <w:tcW w:type="dxa" w:w="2678"/>
            <w:vAlign w:val="center"/>
            <w:shd w:fill="F7F4EC"/>
            <w:tcMar>
              <w:top w:w="130" w:type="dxa"/>
              <w:start w:w="90" w:type="dxa"/>
              <w:bottom w:w="130" w:type="dxa"/>
              <w:end w:w="90" w:type="dxa"/>
            </w:tcMar>
          </w:tcPr>
          <w:p>
            <w:pPr>
              <w:spacing w:after="0"/>
              <w:jc w:val="center"/>
            </w:pPr>
            <w:r>
              <w:rPr>
                <w:rFonts w:ascii="Calibri" w:hAnsi="Calibri" w:eastAsia="Calibri"/>
                <w:b/>
                <w:color w:val="0B544A"/>
                <w:sz w:val="16"/>
              </w:rPr>
              <w:t>Cameras and recorders</w:t>
            </w:r>
            <w:r>
              <w:rPr>
                <w:rFonts w:ascii="Calibri" w:hAnsi="Calibri" w:eastAsia="Calibri"/>
                <w:color w:val="3E4139"/>
                <w:sz w:val="15"/>
              </w:rPr>
              <w:br/>
              <w:t>IP cameras, NVR, DVR and VMS outputs</w:t>
            </w:r>
          </w:p>
        </w:tc>
        <w:tc>
          <w:tcPr>
            <w:tcW w:type="dxa" w:w="2678"/>
            <w:vAlign w:val="center"/>
            <w:shd w:fill="F7F4EC"/>
            <w:tcMar>
              <w:top w:w="130" w:type="dxa"/>
              <w:start w:w="90" w:type="dxa"/>
              <w:bottom w:w="130" w:type="dxa"/>
              <w:end w:w="90" w:type="dxa"/>
            </w:tcMar>
          </w:tcPr>
          <w:p>
            <w:pPr>
              <w:spacing w:after="0"/>
              <w:jc w:val="center"/>
            </w:pPr>
            <w:r>
              <w:rPr>
                <w:rFonts w:ascii="Calibri" w:hAnsi="Calibri" w:eastAsia="Calibri"/>
                <w:b/>
                <w:color w:val="0B544A"/>
                <w:sz w:val="16"/>
              </w:rPr>
              <w:t>Camera catalogues</w:t>
            </w:r>
            <w:r>
              <w:rPr>
                <w:rFonts w:ascii="Calibri" w:hAnsi="Calibri" w:eastAsia="Calibri"/>
                <w:color w:val="3E4139"/>
                <w:sz w:val="15"/>
              </w:rPr>
              <w:br/>
              <w:t>Department inventory and source metadata</w:t>
            </w:r>
          </w:p>
        </w:tc>
        <w:tc>
          <w:tcPr>
            <w:tcW w:type="dxa" w:w="2678"/>
            <w:vAlign w:val="center"/>
            <w:shd w:fill="F7F4EC"/>
            <w:tcMar>
              <w:top w:w="130" w:type="dxa"/>
              <w:start w:w="90" w:type="dxa"/>
              <w:bottom w:w="130" w:type="dxa"/>
              <w:end w:w="90" w:type="dxa"/>
            </w:tcMar>
          </w:tcPr>
          <w:p>
            <w:pPr>
              <w:spacing w:after="0"/>
              <w:jc w:val="center"/>
            </w:pPr>
            <w:r>
              <w:rPr>
                <w:rFonts w:ascii="Calibri" w:hAnsi="Calibri" w:eastAsia="Calibri"/>
                <w:b/>
                <w:color w:val="0B544A"/>
                <w:sz w:val="16"/>
              </w:rPr>
              <w:t>Watchlist systems</w:t>
            </w:r>
            <w:r>
              <w:rPr>
                <w:rFonts w:ascii="Calibri" w:hAnsi="Calibri" w:eastAsia="Calibri"/>
                <w:color w:val="3E4139"/>
                <w:sz w:val="15"/>
              </w:rPr>
              <w:br/>
              <w:t>Authorised vehicle and person lists</w:t>
            </w:r>
          </w:p>
        </w:tc>
      </w:tr>
      <w:tr>
        <w:trPr>
          <w:cantSplit/>
        </w:trPr>
        <w:tc>
          <w:tcPr>
            <w:tcW w:type="dxa" w:w="1612"/>
            <w:vAlign w:val="center"/>
            <w:shd w:fill="0B544A"/>
            <w:tcMar>
              <w:top w:w="130" w:type="dxa"/>
              <w:start w:w="90" w:type="dxa"/>
              <w:bottom w:w="130" w:type="dxa"/>
              <w:end w:w="90" w:type="dxa"/>
            </w:tcMar>
          </w:tcPr>
          <w:p>
            <w:pPr>
              <w:spacing w:after="0"/>
              <w:jc w:val="center"/>
            </w:pPr>
            <w:r>
              <w:rPr>
                <w:rFonts w:ascii="Consolas" w:hAnsi="Consolas" w:eastAsia="Consolas"/>
                <w:b/>
                <w:color w:val="FFFFFF"/>
                <w:sz w:val="15"/>
              </w:rPr>
              <w:t>SENTINEL</w:t>
            </w:r>
          </w:p>
        </w:tc>
        <w:tc>
          <w:tcPr>
            <w:tcW w:type="dxa" w:w="2678"/>
            <w:vAlign w:val="center"/>
            <w:shd w:fill="E3EDE8"/>
            <w:tcMar>
              <w:top w:w="130" w:type="dxa"/>
              <w:start w:w="90" w:type="dxa"/>
              <w:bottom w:w="130" w:type="dxa"/>
              <w:end w:w="90" w:type="dxa"/>
            </w:tcMar>
          </w:tcPr>
          <w:p>
            <w:pPr>
              <w:spacing w:after="0"/>
              <w:jc w:val="center"/>
            </w:pPr>
            <w:r>
              <w:rPr>
                <w:rFonts w:ascii="Calibri" w:hAnsi="Calibri" w:eastAsia="Calibri"/>
                <w:b/>
                <w:color w:val="0B544A"/>
                <w:sz w:val="16"/>
              </w:rPr>
              <w:t>Registry and GIS</w:t>
            </w:r>
            <w:r>
              <w:rPr>
                <w:rFonts w:ascii="Calibri" w:hAnsi="Calibri" w:eastAsia="Calibri"/>
                <w:color w:val="3E4139"/>
                <w:sz w:val="15"/>
              </w:rPr>
              <w:br/>
              <w:t>Ownership, location, capability and health</w:t>
            </w:r>
          </w:p>
        </w:tc>
        <w:tc>
          <w:tcPr>
            <w:tcW w:type="dxa" w:w="2678"/>
            <w:vAlign w:val="center"/>
            <w:shd w:fill="E3EDE8"/>
            <w:tcMar>
              <w:top w:w="130" w:type="dxa"/>
              <w:start w:w="90" w:type="dxa"/>
              <w:bottom w:w="130" w:type="dxa"/>
              <w:end w:w="90" w:type="dxa"/>
            </w:tcMar>
          </w:tcPr>
          <w:p>
            <w:pPr>
              <w:spacing w:after="0"/>
              <w:jc w:val="center"/>
            </w:pPr>
            <w:r>
              <w:rPr>
                <w:rFonts w:ascii="Calibri" w:hAnsi="Calibri" w:eastAsia="Calibri"/>
                <w:b/>
                <w:color w:val="0B544A"/>
                <w:sz w:val="16"/>
              </w:rPr>
              <w:t>Media and analytics</w:t>
            </w:r>
            <w:r>
              <w:rPr>
                <w:rFonts w:ascii="Calibri" w:hAnsi="Calibri" w:eastAsia="Calibri"/>
                <w:color w:val="3E4139"/>
                <w:sz w:val="15"/>
              </w:rPr>
              <w:br/>
              <w:t>Read-only capture, detection and tracking</w:t>
            </w:r>
          </w:p>
        </w:tc>
        <w:tc>
          <w:tcPr>
            <w:tcW w:type="dxa" w:w="2678"/>
            <w:vAlign w:val="center"/>
            <w:shd w:fill="E3EDE8"/>
            <w:tcMar>
              <w:top w:w="130" w:type="dxa"/>
              <w:start w:w="90" w:type="dxa"/>
              <w:bottom w:w="130" w:type="dxa"/>
              <w:end w:w="90" w:type="dxa"/>
            </w:tcMar>
          </w:tcPr>
          <w:p>
            <w:pPr>
              <w:spacing w:after="0"/>
              <w:jc w:val="center"/>
            </w:pPr>
            <w:r>
              <w:rPr>
                <w:rFonts w:ascii="Calibri" w:hAnsi="Calibri" w:eastAsia="Calibri"/>
                <w:b/>
                <w:color w:val="0B544A"/>
                <w:sz w:val="16"/>
              </w:rPr>
              <w:t>Operations</w:t>
            </w:r>
            <w:r>
              <w:rPr>
                <w:rFonts w:ascii="Calibri" w:hAnsi="Calibri" w:eastAsia="Calibri"/>
                <w:color w:val="3E4139"/>
                <w:sz w:val="15"/>
              </w:rPr>
              <w:br/>
              <w:t>Matching, alerts, journeys, audit and investigation</w:t>
            </w:r>
          </w:p>
        </w:tc>
      </w:tr>
      <w:tr>
        <w:trPr>
          <w:cantSplit/>
        </w:trPr>
        <w:tc>
          <w:tcPr>
            <w:tcW w:type="dxa" w:w="1612"/>
            <w:vAlign w:val="center"/>
            <w:shd w:fill="0B544A"/>
            <w:tcMar>
              <w:top w:w="130" w:type="dxa"/>
              <w:start w:w="90" w:type="dxa"/>
              <w:bottom w:w="130" w:type="dxa"/>
              <w:end w:w="90" w:type="dxa"/>
            </w:tcMar>
          </w:tcPr>
          <w:p>
            <w:pPr>
              <w:spacing w:after="0"/>
              <w:jc w:val="center"/>
            </w:pPr>
            <w:r>
              <w:rPr>
                <w:rFonts w:ascii="Consolas" w:hAnsi="Consolas" w:eastAsia="Consolas"/>
                <w:b/>
                <w:color w:val="FFFFFF"/>
                <w:sz w:val="15"/>
              </w:rPr>
              <w:t>USERS</w:t>
            </w:r>
          </w:p>
        </w:tc>
        <w:tc>
          <w:tcPr>
            <w:tcW w:type="dxa" w:w="2678"/>
            <w:vAlign w:val="center"/>
            <w:shd w:fill="EDF1EE"/>
            <w:tcMar>
              <w:top w:w="130" w:type="dxa"/>
              <w:start w:w="90" w:type="dxa"/>
              <w:bottom w:w="130" w:type="dxa"/>
              <w:end w:w="90" w:type="dxa"/>
            </w:tcMar>
          </w:tcPr>
          <w:p>
            <w:pPr>
              <w:spacing w:after="0"/>
              <w:jc w:val="center"/>
            </w:pPr>
            <w:r>
              <w:rPr>
                <w:rFonts w:ascii="Calibri" w:hAnsi="Calibri" w:eastAsia="Calibri"/>
                <w:b/>
                <w:color w:val="0B544A"/>
                <w:sz w:val="16"/>
              </w:rPr>
              <w:t>Department operators</w:t>
            </w:r>
            <w:r>
              <w:rPr>
                <w:rFonts w:ascii="Calibri" w:hAnsi="Calibri" w:eastAsia="Calibri"/>
                <w:color w:val="3E4139"/>
                <w:sz w:val="15"/>
              </w:rPr>
              <w:br/>
              <w:t>Live view and alert response</w:t>
            </w:r>
          </w:p>
        </w:tc>
        <w:tc>
          <w:tcPr>
            <w:tcW w:type="dxa" w:w="2678"/>
            <w:vAlign w:val="center"/>
            <w:shd w:fill="EDF1EE"/>
            <w:tcMar>
              <w:top w:w="130" w:type="dxa"/>
              <w:start w:w="90" w:type="dxa"/>
              <w:bottom w:w="130" w:type="dxa"/>
              <w:end w:w="90" w:type="dxa"/>
            </w:tcMar>
          </w:tcPr>
          <w:p>
            <w:pPr>
              <w:spacing w:after="0"/>
              <w:jc w:val="center"/>
            </w:pPr>
            <w:r>
              <w:rPr>
                <w:rFonts w:ascii="Calibri" w:hAnsi="Calibri" w:eastAsia="Calibri"/>
                <w:b/>
                <w:color w:val="0B544A"/>
                <w:sz w:val="16"/>
              </w:rPr>
              <w:t>Command centres</w:t>
            </w:r>
            <w:r>
              <w:rPr>
                <w:rFonts w:ascii="Calibri" w:hAnsi="Calibri" w:eastAsia="Calibri"/>
                <w:color w:val="3E4139"/>
                <w:sz w:val="15"/>
              </w:rPr>
              <w:br/>
              <w:t>District and statewide awareness</w:t>
            </w:r>
          </w:p>
        </w:tc>
        <w:tc>
          <w:tcPr>
            <w:tcW w:type="dxa" w:w="2678"/>
            <w:vAlign w:val="center"/>
            <w:shd w:fill="EDF1EE"/>
            <w:tcMar>
              <w:top w:w="130" w:type="dxa"/>
              <w:start w:w="90" w:type="dxa"/>
              <w:bottom w:w="130" w:type="dxa"/>
              <w:end w:w="90" w:type="dxa"/>
            </w:tcMar>
          </w:tcPr>
          <w:p>
            <w:pPr>
              <w:spacing w:after="0"/>
              <w:jc w:val="center"/>
            </w:pPr>
            <w:r>
              <w:rPr>
                <w:rFonts w:ascii="Calibri" w:hAnsi="Calibri" w:eastAsia="Calibri"/>
                <w:b/>
                <w:color w:val="0B544A"/>
                <w:sz w:val="16"/>
              </w:rPr>
              <w:t>Administrators</w:t>
            </w:r>
            <w:r>
              <w:rPr>
                <w:rFonts w:ascii="Calibri" w:hAnsi="Calibri" w:eastAsia="Calibri"/>
                <w:color w:val="3E4139"/>
                <w:sz w:val="15"/>
              </w:rPr>
              <w:br/>
              <w:t>Access, catalogues, maintenance and audit</w:t>
            </w:r>
          </w:p>
        </w:tc>
      </w:tr>
    </w:tbl>
    <w:p>
      <w:pPr>
        <w:spacing w:before="60" w:after="160"/>
        <w:jc w:val="center"/>
        <w:keepNext/>
      </w:pPr>
      <w:r>
        <w:rPr>
          <w:rFonts w:ascii="Calibri" w:hAnsi="Calibri" w:eastAsia="Calibri"/>
          <w:i/>
          <w:color w:val="6E7167"/>
          <w:sz w:val="17"/>
        </w:rPr>
        <w:t>Figure 1. System context. Source systems remain authoritative; Sentinel provides a governed operational view.</w:t>
      </w:r>
    </w:p>
    <w:p>
      <w:pPr>
        <w:pStyle w:val="ListBullet"/>
        <w:spacing w:after="80" w:line="269" w:lineRule="auto"/>
        <w:ind w:left="720" w:hanging="360"/>
        <w:keepLines/>
      </w:pPr>
      <w:r>
        <w:rPr>
          <w:rFonts w:ascii="Calibri" w:hAnsi="Calibri" w:eastAsia="Calibri"/>
          <w:color w:val="1A1B17"/>
          <w:sz w:val="20"/>
        </w:rPr>
        <w:t>Different camera and recorder types are normalised through a connector layer before the console or analytics uses them.</w:t>
      </w:r>
    </w:p>
    <w:p>
      <w:pPr>
        <w:pStyle w:val="ListBullet"/>
        <w:spacing w:after="80" w:line="269" w:lineRule="auto"/>
        <w:ind w:left="720" w:hanging="360"/>
        <w:keepLines/>
      </w:pPr>
      <w:r>
        <w:rPr>
          <w:rFonts w:ascii="Calibri" w:hAnsi="Calibri" w:eastAsia="Calibri"/>
          <w:color w:val="1A1B17"/>
          <w:sz w:val="20"/>
        </w:rPr>
        <w:t>Unknown codec, location or timing values remain unknown until a probe or survey provides evidence.</w:t>
      </w:r>
    </w:p>
    <w:p>
      <w:pPr>
        <w:pStyle w:val="ListBullet"/>
        <w:spacing w:after="80" w:line="269" w:lineRule="auto"/>
        <w:ind w:left="720" w:hanging="360"/>
        <w:keepLines/>
      </w:pPr>
      <w:r>
        <w:rPr>
          <w:rFonts w:ascii="Calibri" w:hAnsi="Calibri" w:eastAsia="Calibri"/>
          <w:color w:val="1A1B17"/>
          <w:sz w:val="20"/>
        </w:rPr>
        <w:t>Department grants are checked before camera, media, sighting, alert, journey or investigation data is returned.</w:t>
      </w:r>
    </w:p>
    <w:p>
      <w:pPr>
        <w:pStyle w:val="ListBullet"/>
        <w:spacing w:after="80" w:line="269" w:lineRule="auto"/>
        <w:ind w:left="720" w:hanging="360"/>
        <w:keepLines/>
      </w:pPr>
      <w:r>
        <w:rPr>
          <w:rFonts w:ascii="Calibri" w:hAnsi="Calibri" w:eastAsia="Calibri"/>
          <w:color w:val="1A1B17"/>
          <w:sz w:val="20"/>
        </w:rPr>
        <w:t>Raw stream endpoints stay inside the backend and worker boundary. The browser receives an authenticated relay URL.</w:t>
      </w:r>
    </w:p>
    <w:p>
      <w:pPr>
        <w:spacing w:before="0" w:after="100" w:line="269" w:lineRule="auto"/>
        <w:jc w:val="left"/>
      </w:pPr>
      <w:r>
        <w:rPr>
          <w:rFonts w:ascii="Calibri" w:hAnsi="Calibri" w:eastAsia="Calibri"/>
          <w:i w:val="0"/>
          <w:color w:val="1A1B17"/>
          <w:sz w:val="21"/>
        </w:rPr>
        <w:t>The result is one auditable path from a registered camera to an operator action. Each alert can be traced back to the camera, source time, model output, watchlist entry and operator response.</w:t>
      </w:r>
    </w:p>
    <w:p>
      <w:pPr>
        <w:pStyle w:val="Heading1"/>
        <w:keepNext/>
        <w:pageBreakBefore/>
      </w:pPr>
      <w:r>
        <w:t>2  Detailed component architecture</w:t>
      </w:r>
    </w:p>
    <w:p>
      <w:pPr>
        <w:spacing w:before="0" w:after="100" w:line="269" w:lineRule="auto"/>
        <w:jc w:val="left"/>
      </w:pPr>
      <w:r>
        <w:rPr>
          <w:rFonts w:ascii="Calibri" w:hAnsi="Calibri" w:eastAsia="Calibri"/>
          <w:i w:val="0"/>
          <w:color w:val="1A1B17"/>
          <w:sz w:val="21"/>
        </w:rPr>
        <w:t>The implementation separates the control plane, the media and analytics workers, and the operator console. PostgreSQL with PostGIS is the durable system of record. The backend runs the API and business rules, while separate Python workers handle video decoding and model inference.</w:t>
      </w:r>
    </w:p>
    <w:p>
      <w:pPr>
        <w:keepNext/>
        <w:spacing w:before="40" w:after="40"/>
        <w:jc w:val="center"/>
      </w:pPr>
      <w:r>
        <w:drawing>
          <wp:inline xmlns:a="http://schemas.openxmlformats.org/drawingml/2006/main" xmlns:pic="http://schemas.openxmlformats.org/drawingml/2006/picture">
            <wp:extent cx="5989320" cy="3354019"/>
            <wp:docPr id="1" name="Picture 1"/>
            <wp:cNvGraphicFramePr>
              <a:graphicFrameLocks noChangeAspect="1"/>
            </wp:cNvGraphicFramePr>
            <a:graphic>
              <a:graphicData uri="http://schemas.openxmlformats.org/drawingml/2006/picture">
                <pic:pic>
                  <pic:nvPicPr>
                    <pic:cNvPr id="0" name="01_component_architecture.png"/>
                    <pic:cNvPicPr/>
                  </pic:nvPicPr>
                  <pic:blipFill>
                    <a:blip r:embed="rId11"/>
                    <a:stretch>
                      <a:fillRect/>
                    </a:stretch>
                  </pic:blipFill>
                  <pic:spPr>
                    <a:xfrm>
                      <a:off x="0" y="0"/>
                      <a:ext cx="5989320" cy="3354019"/>
                    </a:xfrm>
                    <a:prstGeom prst="rect"/>
                  </pic:spPr>
                </pic:pic>
              </a:graphicData>
            </a:graphic>
          </wp:inline>
        </w:drawing>
      </w:r>
    </w:p>
    <w:p>
      <w:pPr>
        <w:spacing w:before="60" w:after="160"/>
        <w:jc w:val="center"/>
        <w:keepNext/>
      </w:pPr>
      <w:r>
        <w:rPr>
          <w:rFonts w:ascii="Calibri" w:hAnsi="Calibri" w:eastAsia="Calibri"/>
          <w:i/>
          <w:color w:val="6E7167"/>
          <w:sz w:val="17"/>
        </w:rPr>
        <w:t>Figure 2. Component architecture and primary interactions across source, control, data and user boundaries.</w:t>
      </w:r>
    </w:p>
    <w:p>
      <w:pPr>
        <w:spacing w:before="0" w:after="100" w:line="269" w:lineRule="auto"/>
        <w:jc w:val="left"/>
      </w:pPr>
      <w:r>
        <w:rPr>
          <w:rFonts w:ascii="Calibri" w:hAnsi="Calibri" w:eastAsia="Calibri"/>
          <w:i w:val="0"/>
          <w:color w:val="1A1B17"/>
          <w:sz w:val="21"/>
        </w:rPr>
        <w:t>The backend is a modular monolith. This keeps authentication, database transactions and business rules in one process. Video processing stays outside that process because model and decoder workloads need separate resources and independent restart behaviour.</w:t>
      </w:r>
    </w:p>
    <w:p>
      <w:pPr>
        <w:pStyle w:val="Heading1"/>
        <w:keepNext/>
        <w:pageBreakBefore w:val="0"/>
      </w:pPr>
      <w:r>
        <w:t>3  Deployment and runtime topology</w:t>
      </w:r>
    </w:p>
    <w:tbl>
      <w:tblPr>
        <w:tblW w:type="dxa" w:w="9648"/>
        <w:jc w:val="center"/>
        <w:tblLayout w:type="fixed"/>
        <w:tblLook w:firstColumn="1" w:firstRow="1" w:lastColumn="0" w:lastRow="0" w:noHBand="0" w:noVBand="1" w:val="04A0"/>
        <w:tblInd w:w="0" w:type="dxa"/>
        <w:tblBorders>
          <w:top w:val="single" w:sz="7" w:space="0" w:color="BDB7A5"/>
          <w:left w:val="single" w:sz="7" w:space="0" w:color="BDB7A5"/>
          <w:bottom w:val="single" w:sz="7" w:space="0" w:color="BDB7A5"/>
          <w:right w:val="single" w:sz="7" w:space="0" w:color="BDB7A5"/>
          <w:insideH w:val="single" w:sz="7" w:space="0" w:color="BDB7A5"/>
          <w:insideV w:val="single" w:sz="7" w:space="0" w:color="BDB7A5"/>
        </w:tblBorders>
      </w:tblPr>
      <w:tblGrid>
        <w:gridCol w:w="1612"/>
        <w:gridCol w:w="2678"/>
        <w:gridCol w:w="2678"/>
        <w:gridCol w:w="2678"/>
      </w:tblGrid>
      <w:tr>
        <w:trPr>
          <w:cantSplit/>
        </w:trPr>
        <w:tc>
          <w:tcPr>
            <w:tcW w:type="dxa" w:w="1612"/>
            <w:vAlign w:val="center"/>
            <w:shd w:fill="0B544A"/>
            <w:tcMar>
              <w:top w:w="130" w:type="dxa"/>
              <w:start w:w="90" w:type="dxa"/>
              <w:bottom w:w="130" w:type="dxa"/>
              <w:end w:w="90" w:type="dxa"/>
            </w:tcMar>
          </w:tcPr>
          <w:p>
            <w:pPr>
              <w:spacing w:after="0"/>
              <w:jc w:val="center"/>
            </w:pPr>
            <w:r>
              <w:rPr>
                <w:rFonts w:ascii="Consolas" w:hAnsi="Consolas" w:eastAsia="Consolas"/>
                <w:b/>
                <w:color w:val="FFFFFF"/>
                <w:sz w:val="15"/>
              </w:rPr>
              <w:t>OPERATOR DEVICE</w:t>
            </w:r>
          </w:p>
        </w:tc>
        <w:tc>
          <w:tcPr>
            <w:tcW w:type="dxa" w:w="2678"/>
            <w:vAlign w:val="center"/>
            <w:shd w:fill="F7F4EC"/>
            <w:tcMar>
              <w:top w:w="130" w:type="dxa"/>
              <w:start w:w="90" w:type="dxa"/>
              <w:bottom w:w="130" w:type="dxa"/>
              <w:end w:w="90" w:type="dxa"/>
            </w:tcMar>
          </w:tcPr>
          <w:p>
            <w:pPr>
              <w:spacing w:after="0"/>
              <w:jc w:val="center"/>
            </w:pPr>
            <w:r>
              <w:rPr>
                <w:rFonts w:ascii="Calibri" w:hAnsi="Calibri" w:eastAsia="Calibri"/>
                <w:b/>
                <w:color w:val="0B544A"/>
                <w:sz w:val="16"/>
              </w:rPr>
              <w:t>Authenticated browser</w:t>
            </w:r>
            <w:r>
              <w:rPr>
                <w:rFonts w:ascii="Calibri" w:hAnsi="Calibri" w:eastAsia="Calibri"/>
                <w:color w:val="3E4139"/>
                <w:sz w:val="15"/>
              </w:rPr>
              <w:br/>
              <w:t>React console, maps and HLS/WebRTC player</w:t>
            </w:r>
          </w:p>
        </w:tc>
        <w:tc>
          <w:tcPr>
            <w:tcW w:type="dxa" w:w="2678"/>
            <w:vAlign w:val="center"/>
            <w:shd w:fill="F7F4EC"/>
            <w:tcMar>
              <w:top w:w="130" w:type="dxa"/>
              <w:start w:w="90" w:type="dxa"/>
              <w:bottom w:w="130" w:type="dxa"/>
              <w:end w:w="90" w:type="dxa"/>
            </w:tcMar>
          </w:tcPr>
          <w:p>
            <w:pPr>
              <w:spacing w:after="0"/>
              <w:jc w:val="center"/>
            </w:pPr>
            <w:r>
              <w:rPr>
                <w:rFonts w:ascii="Calibri" w:hAnsi="Calibri" w:eastAsia="Calibri"/>
                <w:b/>
                <w:color w:val="0B544A"/>
                <w:sz w:val="16"/>
              </w:rPr>
              <w:t>Same-origin API</w:t>
            </w:r>
            <w:r>
              <w:rPr>
                <w:rFonts w:ascii="Calibri" w:hAnsi="Calibri" w:eastAsia="Calibri"/>
                <w:color w:val="3E4139"/>
                <w:sz w:val="15"/>
              </w:rPr>
              <w:br/>
              <w:t>No raw camera endpoint is exposed</w:t>
            </w:r>
          </w:p>
        </w:tc>
        <w:tc>
          <w:tcPr>
            <w:tcW w:type="dxa" w:w="2678"/>
            <w:vAlign w:val="center"/>
            <w:shd w:fill="F7F4EC"/>
            <w:tcMar>
              <w:top w:w="130" w:type="dxa"/>
              <w:start w:w="90" w:type="dxa"/>
              <w:bottom w:w="130" w:type="dxa"/>
              <w:end w:w="90" w:type="dxa"/>
            </w:tcMar>
          </w:tcPr>
          <w:p>
            <w:pPr>
              <w:spacing w:after="0"/>
              <w:jc w:val="center"/>
            </w:pPr>
            <w:r>
              <w:rPr>
                <w:rFonts w:ascii="Calibri" w:hAnsi="Calibri" w:eastAsia="Calibri"/>
                <w:b/>
                <w:color w:val="0B544A"/>
                <w:sz w:val="16"/>
              </w:rPr>
              <w:t>Role-aware actions</w:t>
            </w:r>
            <w:r>
              <w:rPr>
                <w:rFonts w:ascii="Calibri" w:hAnsi="Calibri" w:eastAsia="Calibri"/>
                <w:color w:val="3E4139"/>
                <w:sz w:val="15"/>
              </w:rPr>
              <w:br/>
              <w:t>Server rechecks every request</w:t>
            </w:r>
          </w:p>
        </w:tc>
      </w:tr>
      <w:tr>
        <w:trPr>
          <w:cantSplit/>
        </w:trPr>
        <w:tc>
          <w:tcPr>
            <w:tcW w:type="dxa" w:w="1612"/>
            <w:vAlign w:val="center"/>
            <w:shd w:fill="0B544A"/>
            <w:tcMar>
              <w:top w:w="130" w:type="dxa"/>
              <w:start w:w="90" w:type="dxa"/>
              <w:bottom w:w="130" w:type="dxa"/>
              <w:end w:w="90" w:type="dxa"/>
            </w:tcMar>
          </w:tcPr>
          <w:p>
            <w:pPr>
              <w:spacing w:after="0"/>
              <w:jc w:val="center"/>
            </w:pPr>
            <w:r>
              <w:rPr>
                <w:rFonts w:ascii="Consolas" w:hAnsi="Consolas" w:eastAsia="Consolas"/>
                <w:b/>
                <w:color w:val="FFFFFF"/>
                <w:sz w:val="15"/>
              </w:rPr>
              <w:t>APPLICATION HOST</w:t>
            </w:r>
          </w:p>
        </w:tc>
        <w:tc>
          <w:tcPr>
            <w:tcW w:type="dxa" w:w="2678"/>
            <w:vAlign w:val="center"/>
            <w:shd w:fill="E3EDE8"/>
            <w:tcMar>
              <w:top w:w="130" w:type="dxa"/>
              <w:start w:w="90" w:type="dxa"/>
              <w:bottom w:w="130" w:type="dxa"/>
              <w:end w:w="90" w:type="dxa"/>
            </w:tcMar>
          </w:tcPr>
          <w:p>
            <w:pPr>
              <w:spacing w:after="0"/>
              <w:jc w:val="center"/>
            </w:pPr>
            <w:r>
              <w:rPr>
                <w:rFonts w:ascii="Calibri" w:hAnsi="Calibri" w:eastAsia="Calibri"/>
                <w:b/>
                <w:color w:val="0B544A"/>
                <w:sz w:val="16"/>
              </w:rPr>
              <w:t>FastAPI</w:t>
            </w:r>
            <w:r>
              <w:rPr>
                <w:rFonts w:ascii="Calibri" w:hAnsi="Calibri" w:eastAsia="Calibri"/>
                <w:color w:val="3E4139"/>
                <w:sz w:val="15"/>
              </w:rPr>
              <w:br/>
              <w:t>Business rules, API and static console</w:t>
            </w:r>
          </w:p>
        </w:tc>
        <w:tc>
          <w:tcPr>
            <w:tcW w:type="dxa" w:w="2678"/>
            <w:vAlign w:val="center"/>
            <w:shd w:fill="E3EDE8"/>
            <w:tcMar>
              <w:top w:w="130" w:type="dxa"/>
              <w:start w:w="90" w:type="dxa"/>
              <w:bottom w:w="130" w:type="dxa"/>
              <w:end w:w="90" w:type="dxa"/>
            </w:tcMar>
          </w:tcPr>
          <w:p>
            <w:pPr>
              <w:spacing w:after="0"/>
              <w:jc w:val="center"/>
            </w:pPr>
            <w:r>
              <w:rPr>
                <w:rFonts w:ascii="Calibri" w:hAnsi="Calibri" w:eastAsia="Calibri"/>
                <w:b/>
                <w:color w:val="0B544A"/>
                <w:sz w:val="16"/>
              </w:rPr>
              <w:t>Supervisors</w:t>
            </w:r>
            <w:r>
              <w:rPr>
                <w:rFonts w:ascii="Calibri" w:hAnsi="Calibri" w:eastAsia="Calibri"/>
                <w:color w:val="3E4139"/>
                <w:sz w:val="15"/>
              </w:rPr>
              <w:br/>
              <w:t>Live analytics and offline ingest processes</w:t>
            </w:r>
          </w:p>
        </w:tc>
        <w:tc>
          <w:tcPr>
            <w:tcW w:type="dxa" w:w="2678"/>
            <w:vAlign w:val="center"/>
            <w:shd w:fill="E3EDE8"/>
            <w:tcMar>
              <w:top w:w="130" w:type="dxa"/>
              <w:start w:w="90" w:type="dxa"/>
              <w:bottom w:w="130" w:type="dxa"/>
              <w:end w:w="90" w:type="dxa"/>
            </w:tcMar>
          </w:tcPr>
          <w:p>
            <w:pPr>
              <w:spacing w:after="0"/>
              <w:jc w:val="center"/>
            </w:pPr>
            <w:r>
              <w:rPr>
                <w:rFonts w:ascii="Calibri" w:hAnsi="Calibri" w:eastAsia="Calibri"/>
                <w:b/>
                <w:color w:val="0B544A"/>
                <w:sz w:val="16"/>
              </w:rPr>
              <w:t>Media relay</w:t>
            </w:r>
            <w:r>
              <w:rPr>
                <w:rFonts w:ascii="Calibri" w:hAnsi="Calibri" w:eastAsia="Calibri"/>
                <w:color w:val="3E4139"/>
                <w:sz w:val="15"/>
              </w:rPr>
              <w:br/>
              <w:t>HLS proxy, FFmpeg and MediaMTX</w:t>
            </w:r>
          </w:p>
        </w:tc>
      </w:tr>
      <w:tr>
        <w:trPr>
          <w:cantSplit/>
        </w:trPr>
        <w:tc>
          <w:tcPr>
            <w:tcW w:type="dxa" w:w="1612"/>
            <w:vAlign w:val="center"/>
            <w:shd w:fill="0B544A"/>
            <w:tcMar>
              <w:top w:w="130" w:type="dxa"/>
              <w:start w:w="90" w:type="dxa"/>
              <w:bottom w:w="130" w:type="dxa"/>
              <w:end w:w="90" w:type="dxa"/>
            </w:tcMar>
          </w:tcPr>
          <w:p>
            <w:pPr>
              <w:spacing w:after="0"/>
              <w:jc w:val="center"/>
            </w:pPr>
            <w:r>
              <w:rPr>
                <w:rFonts w:ascii="Consolas" w:hAnsi="Consolas" w:eastAsia="Consolas"/>
                <w:b/>
                <w:color w:val="FFFFFF"/>
                <w:sz w:val="15"/>
              </w:rPr>
              <w:t>PERSISTENCE</w:t>
            </w:r>
          </w:p>
        </w:tc>
        <w:tc>
          <w:tcPr>
            <w:tcW w:type="dxa" w:w="2678"/>
            <w:vAlign w:val="center"/>
            <w:shd w:fill="EDF1EE"/>
            <w:tcMar>
              <w:top w:w="130" w:type="dxa"/>
              <w:start w:w="90" w:type="dxa"/>
              <w:bottom w:w="130" w:type="dxa"/>
              <w:end w:w="90" w:type="dxa"/>
            </w:tcMar>
          </w:tcPr>
          <w:p>
            <w:pPr>
              <w:spacing w:after="0"/>
              <w:jc w:val="center"/>
            </w:pPr>
            <w:r>
              <w:rPr>
                <w:rFonts w:ascii="Calibri" w:hAnsi="Calibri" w:eastAsia="Calibri"/>
                <w:b/>
                <w:color w:val="0B544A"/>
                <w:sz w:val="16"/>
              </w:rPr>
              <w:t>PostgreSQL 17</w:t>
            </w:r>
            <w:r>
              <w:rPr>
                <w:rFonts w:ascii="Calibri" w:hAnsi="Calibri" w:eastAsia="Calibri"/>
                <w:color w:val="3E4139"/>
                <w:sz w:val="15"/>
              </w:rPr>
              <w:br/>
              <w:t>Operational records and job state</w:t>
            </w:r>
          </w:p>
        </w:tc>
        <w:tc>
          <w:tcPr>
            <w:tcW w:type="dxa" w:w="2678"/>
            <w:vAlign w:val="center"/>
            <w:shd w:fill="EDF1EE"/>
            <w:tcMar>
              <w:top w:w="130" w:type="dxa"/>
              <w:start w:w="90" w:type="dxa"/>
              <w:bottom w:w="130" w:type="dxa"/>
              <w:end w:w="90" w:type="dxa"/>
            </w:tcMar>
          </w:tcPr>
          <w:p>
            <w:pPr>
              <w:spacing w:after="0"/>
              <w:jc w:val="center"/>
            </w:pPr>
            <w:r>
              <w:rPr>
                <w:rFonts w:ascii="Calibri" w:hAnsi="Calibri" w:eastAsia="Calibri"/>
                <w:b/>
                <w:color w:val="0B544A"/>
                <w:sz w:val="16"/>
              </w:rPr>
              <w:t>PostGIS</w:t>
            </w:r>
            <w:r>
              <w:rPr>
                <w:rFonts w:ascii="Calibri" w:hAnsi="Calibri" w:eastAsia="Calibri"/>
                <w:color w:val="3E4139"/>
                <w:sz w:val="15"/>
              </w:rPr>
              <w:br/>
              <w:t>Locations, coverage and journey maps</w:t>
            </w:r>
          </w:p>
        </w:tc>
        <w:tc>
          <w:tcPr>
            <w:tcW w:type="dxa" w:w="2678"/>
            <w:vAlign w:val="center"/>
            <w:shd w:fill="EDF1EE"/>
            <w:tcMar>
              <w:top w:w="130" w:type="dxa"/>
              <w:start w:w="90" w:type="dxa"/>
              <w:bottom w:w="130" w:type="dxa"/>
              <w:end w:w="90" w:type="dxa"/>
            </w:tcMar>
          </w:tcPr>
          <w:p>
            <w:pPr>
              <w:spacing w:after="0"/>
              <w:jc w:val="center"/>
            </w:pPr>
            <w:r>
              <w:rPr>
                <w:rFonts w:ascii="Calibri" w:hAnsi="Calibri" w:eastAsia="Calibri"/>
                <w:b/>
                <w:color w:val="0B544A"/>
                <w:sz w:val="16"/>
              </w:rPr>
              <w:t>File store</w:t>
            </w:r>
            <w:r>
              <w:rPr>
                <w:rFonts w:ascii="Calibri" w:hAnsi="Calibri" w:eastAsia="Calibri"/>
                <w:color w:val="3E4139"/>
                <w:sz w:val="15"/>
              </w:rPr>
              <w:br/>
              <w:t>Recordings and short-lived evidence crops</w:t>
            </w:r>
          </w:p>
        </w:tc>
      </w:tr>
    </w:tbl>
    <w:p>
      <w:pPr>
        <w:spacing w:before="60" w:after="160"/>
        <w:jc w:val="center"/>
        <w:keepNext/>
      </w:pPr>
      <w:r>
        <w:rPr>
          <w:rFonts w:ascii="Calibri" w:hAnsi="Calibri" w:eastAsia="Calibri"/>
          <w:i/>
          <w:color w:val="6E7167"/>
          <w:sz w:val="17"/>
        </w:rPr>
        <w:t>Figure 3. Current deployment topology.</w:t>
      </w:r>
    </w:p>
    <w:p>
      <w:pPr>
        <w:spacing w:before="0" w:after="100" w:line="269" w:lineRule="auto"/>
        <w:jc w:val="left"/>
      </w:pPr>
      <w:r>
        <w:rPr>
          <w:rFonts w:ascii="Calibri" w:hAnsi="Calibri" w:eastAsia="Calibri"/>
          <w:i w:val="0"/>
          <w:color w:val="1A1B17"/>
          <w:sz w:val="21"/>
        </w:rPr>
        <w:t>At startup, the backend removes orphaned live workers and clears old analytics intent. A camera does not resume continuous analytics until an operator enables it again. Offline ingest jobs follow their database state because they may run for much longer.</w:t>
      </w:r>
    </w:p>
    <w:p>
      <w:pPr>
        <w:pStyle w:val="Heading1"/>
        <w:keepNext/>
        <w:pageBreakBefore/>
      </w:pPr>
      <w:r>
        <w:t>4  Observation to alert sequence</w:t>
      </w:r>
    </w:p>
    <w:p>
      <w:pPr>
        <w:spacing w:before="0" w:after="100" w:line="269" w:lineRule="auto"/>
        <w:jc w:val="left"/>
      </w:pPr>
      <w:r>
        <w:rPr>
          <w:rFonts w:ascii="Calibri" w:hAnsi="Calibri" w:eastAsia="Calibri"/>
          <w:i w:val="0"/>
          <w:color w:val="1A1B17"/>
          <w:sz w:val="21"/>
        </w:rPr>
        <w:t>The sequence below shows how a confirmed observation becomes an alert and how the operator response is recorded. It separates source media, analytics, transactional matching and operator state.</w:t>
      </w:r>
    </w:p>
    <w:p>
      <w:pPr>
        <w:keepNext/>
        <w:spacing w:before="40" w:after="40"/>
        <w:jc w:val="center"/>
      </w:pPr>
      <w:r>
        <w:drawing>
          <wp:inline xmlns:a="http://schemas.openxmlformats.org/drawingml/2006/main" xmlns:pic="http://schemas.openxmlformats.org/drawingml/2006/picture">
            <wp:extent cx="5989320" cy="3354019"/>
            <wp:docPr id="2" name="Picture 2"/>
            <wp:cNvGraphicFramePr>
              <a:graphicFrameLocks noChangeAspect="1"/>
            </wp:cNvGraphicFramePr>
            <a:graphic>
              <a:graphicData uri="http://schemas.openxmlformats.org/drawingml/2006/picture">
                <pic:pic>
                  <pic:nvPicPr>
                    <pic:cNvPr id="0" name="02_observation_sequence.png"/>
                    <pic:cNvPicPr/>
                  </pic:nvPicPr>
                  <pic:blipFill>
                    <a:blip r:embed="rId12"/>
                    <a:stretch>
                      <a:fillRect/>
                    </a:stretch>
                  </pic:blipFill>
                  <pic:spPr>
                    <a:xfrm>
                      <a:off x="0" y="0"/>
                      <a:ext cx="5989320" cy="3354019"/>
                    </a:xfrm>
                    <a:prstGeom prst="rect"/>
                  </pic:spPr>
                </pic:pic>
              </a:graphicData>
            </a:graphic>
          </wp:inline>
        </w:drawing>
      </w:r>
    </w:p>
    <w:p>
      <w:pPr>
        <w:spacing w:before="60" w:after="160"/>
        <w:jc w:val="center"/>
        <w:keepNext/>
      </w:pPr>
      <w:r>
        <w:rPr>
          <w:rFonts w:ascii="Calibri" w:hAnsi="Calibri" w:eastAsia="Calibri"/>
          <w:i/>
          <w:color w:val="6E7167"/>
          <w:sz w:val="17"/>
        </w:rPr>
        <w:t>Figure 4. Observation-to-alert sequence. The source observation stays unchanged when the alert state changes.</w:t>
      </w:r>
    </w:p>
    <w:p>
      <w:pPr>
        <w:spacing w:before="0" w:after="100" w:line="269" w:lineRule="auto"/>
        <w:jc w:val="left"/>
      </w:pPr>
      <w:r>
        <w:rPr>
          <w:rFonts w:ascii="Calibri" w:hAnsi="Calibri" w:eastAsia="Calibri"/>
          <w:i w:val="0"/>
          <w:color w:val="1A1B17"/>
          <w:sz w:val="21"/>
        </w:rPr>
        <w:t>Every confirmed sighting is stored even when it does not create an alert. The confidence threshold controls interruption, not data retention. Acknowledging or resolving an alert does not change the observation that created it.</w:t>
      </w:r>
    </w:p>
    <w:p>
      <w:pPr>
        <w:pStyle w:val="Heading1"/>
        <w:keepNext/>
        <w:pageBreakBefore/>
      </w:pPr>
      <w:r>
        <w:t>5  Integrating cameras, NVRs and VMS</w:t>
      </w:r>
    </w:p>
    <w:p>
      <w:pPr>
        <w:spacing w:before="0" w:after="100" w:line="269" w:lineRule="auto"/>
        <w:jc w:val="left"/>
      </w:pPr>
      <w:r>
        <w:rPr>
          <w:rFonts w:ascii="Calibri" w:hAnsi="Calibri" w:eastAsia="Calibri"/>
          <w:i w:val="0"/>
          <w:color w:val="1A1B17"/>
          <w:sz w:val="21"/>
        </w:rPr>
        <w:t>Sentinel accepts camera information through the registry first. A stream can be added later, so a camera can still appear on the GIS map and in maintenance reports when no network feed is available.</w:t>
      </w:r>
    </w:p>
    <w:p>
      <w:pPr>
        <w:keepNext/>
        <w:spacing w:before="40" w:after="40"/>
        <w:jc w:val="center"/>
      </w:pPr>
      <w:r>
        <w:drawing>
          <wp:inline xmlns:a="http://schemas.openxmlformats.org/drawingml/2006/main" xmlns:pic="http://schemas.openxmlformats.org/drawingml/2006/picture">
            <wp:extent cx="5989320" cy="2785034"/>
            <wp:docPr id="3" name="Picture 3"/>
            <wp:cNvGraphicFramePr>
              <a:graphicFrameLocks noChangeAspect="1"/>
            </wp:cNvGraphicFramePr>
            <a:graphic>
              <a:graphicData uri="http://schemas.openxmlformats.org/drawingml/2006/picture">
                <pic:pic>
                  <pic:nvPicPr>
                    <pic:cNvPr id="0" name="03_camera_integration.png"/>
                    <pic:cNvPicPr/>
                  </pic:nvPicPr>
                  <pic:blipFill>
                    <a:blip r:embed="rId13"/>
                    <a:stretch>
                      <a:fillRect/>
                    </a:stretch>
                  </pic:blipFill>
                  <pic:spPr>
                    <a:xfrm>
                      <a:off x="0" y="0"/>
                      <a:ext cx="5989320" cy="2785034"/>
                    </a:xfrm>
                    <a:prstGeom prst="rect"/>
                  </pic:spPr>
                </pic:pic>
              </a:graphicData>
            </a:graphic>
          </wp:inline>
        </w:drawing>
      </w:r>
    </w:p>
    <w:p>
      <w:pPr>
        <w:spacing w:before="60" w:after="160"/>
        <w:jc w:val="center"/>
        <w:keepNext/>
      </w:pPr>
      <w:r>
        <w:rPr>
          <w:rFonts w:ascii="Calibri" w:hAnsi="Calibri" w:eastAsia="Calibri"/>
          <w:i/>
          <w:color w:val="6E7167"/>
          <w:sz w:val="17"/>
        </w:rPr>
        <w:t>Figure 5. Read-only integration path for heterogeneous cameras, NVRs, DVRs and VMS catalogues.</w:t>
      </w:r>
    </w:p>
    <w:p>
      <w:pPr>
        <w:spacing w:before="0" w:after="100" w:line="269" w:lineRule="auto"/>
        <w:jc w:val="left"/>
      </w:pPr>
      <w:r>
        <w:rPr>
          <w:rFonts w:ascii="Calibri" w:hAnsi="Calibri" w:eastAsia="Calibri"/>
          <w:i w:val="0"/>
          <w:color w:val="1A1B17"/>
          <w:sz w:val="21"/>
        </w:rPr>
        <w:t>The connector layer is read-only. It discovers sources, normalises fields and reports health. It does not publish a stream, move a PTZ camera or call a recorder control API. Camera IDs come from the catalogue or the registry and are not hard-coded into analytics.</w:t>
      </w:r>
    </w:p>
    <w:p>
      <w:pPr>
        <w:spacing w:before="0" w:after="100" w:line="269" w:lineRule="auto"/>
        <w:jc w:val="left"/>
      </w:pPr>
      <w:r>
        <w:rPr>
          <w:rFonts w:ascii="Calibri" w:hAnsi="Calibri" w:eastAsia="Calibri"/>
          <w:i w:val="0"/>
          <w:color w:val="1A1B17"/>
          <w:sz w:val="21"/>
        </w:rPr>
        <w:t>Empty codec, resolution, frame-rate or location fields are not filled with guessed values. Stream probing and geocoding add separate observed values and confidence information. Raw endpoints remain inside the backend and worker boundary.</w:t>
      </w:r>
    </w:p>
    <w:p>
      <w:pPr>
        <w:pStyle w:val="Heading1"/>
        <w:keepNext/>
        <w:pageBreakBefore/>
      </w:pPr>
      <w:r>
        <w:t>6  Live stream ingestion and processing</w:t>
      </w:r>
    </w:p>
    <w:p>
      <w:pPr>
        <w:spacing w:before="0" w:after="100" w:line="269" w:lineRule="auto"/>
        <w:jc w:val="left"/>
      </w:pPr>
      <w:r>
        <w:rPr>
          <w:rFonts w:ascii="Calibri" w:hAnsi="Calibri" w:eastAsia="Calibri"/>
          <w:i w:val="0"/>
          <w:color w:val="1A1B17"/>
          <w:sz w:val="21"/>
        </w:rPr>
        <w:t>Live media follows two controlled lanes: sampled frames go to analytics workers, while authenticated HLS or focused WebRTC serves operator playback. Analytics workers publish observations through a separate machine-token path.</w:t>
      </w:r>
    </w:p>
    <w:p>
      <w:pPr>
        <w:keepNext/>
        <w:spacing w:before="40" w:after="40"/>
        <w:jc w:val="center"/>
      </w:pPr>
      <w:r>
        <w:drawing>
          <wp:inline xmlns:a="http://schemas.openxmlformats.org/drawingml/2006/main" xmlns:pic="http://schemas.openxmlformats.org/drawingml/2006/picture">
            <wp:extent cx="5989320" cy="3174339"/>
            <wp:docPr id="4" name="Picture 4"/>
            <wp:cNvGraphicFramePr>
              <a:graphicFrameLocks noChangeAspect="1"/>
            </wp:cNvGraphicFramePr>
            <a:graphic>
              <a:graphicData uri="http://schemas.openxmlformats.org/drawingml/2006/picture">
                <pic:pic>
                  <pic:nvPicPr>
                    <pic:cNvPr id="0" name="04_live_data_flow.png"/>
                    <pic:cNvPicPr/>
                  </pic:nvPicPr>
                  <pic:blipFill>
                    <a:blip r:embed="rId14"/>
                    <a:stretch>
                      <a:fillRect/>
                    </a:stretch>
                  </pic:blipFill>
                  <pic:spPr>
                    <a:xfrm>
                      <a:off x="0" y="0"/>
                      <a:ext cx="5989320" cy="3174339"/>
                    </a:xfrm>
                    <a:prstGeom prst="rect"/>
                  </pic:spPr>
                </pic:pic>
              </a:graphicData>
            </a:graphic>
          </wp:inline>
        </w:drawing>
      </w:r>
    </w:p>
    <w:p>
      <w:pPr>
        <w:spacing w:before="60" w:after="160"/>
        <w:jc w:val="center"/>
        <w:keepNext/>
      </w:pPr>
      <w:r>
        <w:rPr>
          <w:rFonts w:ascii="Calibri" w:hAnsi="Calibri" w:eastAsia="Calibri"/>
          <w:i/>
          <w:color w:val="6E7167"/>
          <w:sz w:val="17"/>
        </w:rPr>
        <w:t>Figure 6. Live media, inference, observation and operator data flow.</w:t>
      </w:r>
    </w:p>
    <w:p>
      <w:pPr>
        <w:pStyle w:val="Heading2"/>
        <w:keepNext/>
        <w:pageBreakBefore w:val="0"/>
      </w:pPr>
      <w:r>
        <w:t>6.1  Timing</w:t>
      </w:r>
    </w:p>
    <w:p>
      <w:pPr>
        <w:spacing w:before="0" w:after="100" w:line="269" w:lineRule="auto"/>
        <w:jc w:val="left"/>
      </w:pPr>
      <w:r>
        <w:rPr>
          <w:rFonts w:ascii="Calibri" w:hAnsi="Calibri" w:eastAsia="Calibri"/>
          <w:i w:val="0"/>
          <w:color w:val="1A1B17"/>
          <w:sz w:val="21"/>
        </w:rPr>
        <w:t>Frame arrival time is not used as the event time. The worker keeps the frame's connection-relative presentation timestamp and maps it to the latest HLS program date and time. The mapping is refreshed during the connection.</w:t>
      </w:r>
    </w:p>
    <w:p>
      <w:pPr>
        <w:spacing w:before="0" w:after="100" w:line="269" w:lineRule="auto"/>
        <w:jc w:val="left"/>
      </w:pPr>
      <w:r>
        <w:rPr>
          <w:rFonts w:ascii="Calibri" w:hAnsi="Calibri" w:eastAsia="Calibri"/>
          <w:i w:val="0"/>
          <w:color w:val="1A1B17"/>
          <w:sz w:val="21"/>
        </w:rPr>
        <w:t>A reconnect or backward timestamp jump creates a new stream epoch. Timestamps are compared only inside the same camera and epoch. If the worker cannot obtain an absolute time anchor, it does not invent one.</w:t>
      </w:r>
    </w:p>
    <w:p>
      <w:pPr>
        <w:pStyle w:val="Heading2"/>
        <w:keepNext/>
        <w:pageBreakBefore w:val="0"/>
      </w:pPr>
      <w:r>
        <w:t>6.2  Resilience and load control</w:t>
      </w:r>
    </w:p>
    <w:p>
      <w:pPr>
        <w:pStyle w:val="ListBullet"/>
        <w:spacing w:after="80" w:line="269" w:lineRule="auto"/>
        <w:ind w:left="720" w:hanging="360"/>
        <w:keepLines/>
      </w:pPr>
      <w:r>
        <w:rPr>
          <w:rFonts w:ascii="Calibri" w:hAnsi="Calibri" w:eastAsia="Calibri"/>
          <w:color w:val="1A1B17"/>
          <w:sz w:val="20"/>
        </w:rPr>
        <w:t>A shallow queue keeps the newest frame and drops stale frames when inference falls behind.</w:t>
      </w:r>
    </w:p>
    <w:p>
      <w:pPr>
        <w:pStyle w:val="ListBullet"/>
        <w:spacing w:after="80" w:line="269" w:lineRule="auto"/>
        <w:ind w:left="720" w:hanging="360"/>
        <w:keepLines/>
      </w:pPr>
      <w:r>
        <w:rPr>
          <w:rFonts w:ascii="Calibri" w:hAnsi="Calibri" w:eastAsia="Calibri"/>
          <w:color w:val="1A1B17"/>
          <w:sz w:val="20"/>
        </w:rPr>
        <w:t>A failed stream reconnects with increasing delay, capped to avoid a tight retry loop.</w:t>
      </w:r>
    </w:p>
    <w:p>
      <w:pPr>
        <w:pStyle w:val="ListBullet"/>
        <w:spacing w:after="80" w:line="269" w:lineRule="auto"/>
        <w:ind w:left="720" w:hanging="360"/>
        <w:keepLines/>
      </w:pPr>
      <w:r>
        <w:rPr>
          <w:rFonts w:ascii="Calibri" w:hAnsi="Calibri" w:eastAsia="Calibri"/>
          <w:color w:val="1A1B17"/>
          <w:sz w:val="20"/>
        </w:rPr>
        <w:t>RTSP falls back to HLS when both are registered and RTSP cannot open.</w:t>
      </w:r>
    </w:p>
    <w:p>
      <w:pPr>
        <w:pStyle w:val="ListBullet"/>
        <w:spacing w:after="80" w:line="269" w:lineRule="auto"/>
        <w:ind w:left="720" w:hanging="360"/>
        <w:keepLines/>
      </w:pPr>
      <w:r>
        <w:rPr>
          <w:rFonts w:ascii="Calibri" w:hAnsi="Calibri" w:eastAsia="Calibri"/>
          <w:color w:val="1A1B17"/>
          <w:sz w:val="20"/>
        </w:rPr>
        <w:t>A backward timestamp or reconnect starts a new epoch and resets unsafe timing state.</w:t>
      </w:r>
    </w:p>
    <w:p>
      <w:pPr>
        <w:pStyle w:val="ListBullet"/>
        <w:spacing w:after="80" w:line="269" w:lineRule="auto"/>
        <w:ind w:left="720" w:hanging="360"/>
        <w:keepLines/>
      </w:pPr>
      <w:r>
        <w:rPr>
          <w:rFonts w:ascii="Calibri" w:hAnsi="Calibri" w:eastAsia="Calibri"/>
          <w:color w:val="1A1B17"/>
          <w:sz w:val="20"/>
        </w:rPr>
        <w:t>Vehicle, person, suspicious-activity and offline-ingest workloads have separate concurrency limits.</w:t>
      </w:r>
    </w:p>
    <w:p>
      <w:pPr>
        <w:pStyle w:val="ListBullet"/>
        <w:spacing w:after="80" w:line="269" w:lineRule="auto"/>
        <w:ind w:left="720" w:hanging="360"/>
        <w:keepLines/>
      </w:pPr>
      <w:r>
        <w:rPr>
          <w:rFonts w:ascii="Calibri" w:hAnsi="Calibri" w:eastAsia="Calibri"/>
          <w:color w:val="1A1B17"/>
          <w:sz w:val="20"/>
        </w:rPr>
        <w:t>Inactive relay sessions close after their idle period. The console shows connected, reconnecting, offline and unknown as different states.</w:t>
      </w:r>
    </w:p>
    <w:p>
      <w:pPr>
        <w:pStyle w:val="Heading1"/>
        <w:keepNext/>
        <w:pageBreakBefore/>
      </w:pPr>
      <w:r>
        <w:t>7  Analytics, watchlists and investigation</w:t>
      </w:r>
    </w:p>
    <w:p>
      <w:pPr>
        <w:pStyle w:val="Heading2"/>
        <w:keepNext/>
        <w:pageBreakBefore w:val="0"/>
      </w:pPr>
      <w:r>
        <w:t>7.1  Analytics and continuous correlation</w:t>
      </w:r>
    </w:p>
    <w:p>
      <w:pPr>
        <w:spacing w:before="0" w:after="100" w:line="269" w:lineRule="auto"/>
        <w:jc w:val="left"/>
      </w:pPr>
      <w:r>
        <w:rPr>
          <w:rFonts w:ascii="Calibri" w:hAnsi="Calibri" w:eastAsia="Calibri"/>
          <w:i w:val="0"/>
          <w:color w:val="1A1B17"/>
          <w:sz w:val="21"/>
        </w:rPr>
        <w:t>YOLO11 detects vehicles and ByteTrack keeps a track across frames. Plate OCR runs only when the crop is large enough to be useful. Several reads from the same track are combined before the worker publishes one confirmed sighting.</w:t>
      </w:r>
    </w:p>
    <w:p>
      <w:pPr>
        <w:spacing w:before="0" w:after="100" w:line="269" w:lineRule="auto"/>
        <w:jc w:val="left"/>
      </w:pPr>
      <w:r>
        <w:rPr>
          <w:rFonts w:ascii="Calibri" w:hAnsi="Calibri" w:eastAsia="Calibri"/>
          <w:i w:val="0"/>
          <w:color w:val="1A1B17"/>
          <w:sz w:val="21"/>
        </w:rPr>
        <w:t>Plate text is normalised before exact comparison with active watchlist entries. A lower-confidence sighting remains searchable but does not interrupt the operator. Match creation, deduplication, prioritisation and alert state changes remain separate from the immutable source observation.</w:t>
      </w:r>
    </w:p>
    <w:p>
      <w:pPr>
        <w:keepNext/>
        <w:spacing w:before="40" w:after="40"/>
        <w:jc w:val="center"/>
      </w:pPr>
      <w:r>
        <w:drawing>
          <wp:inline xmlns:a="http://schemas.openxmlformats.org/drawingml/2006/main" xmlns:pic="http://schemas.openxmlformats.org/drawingml/2006/picture">
            <wp:extent cx="5989320" cy="3144393"/>
            <wp:docPr id="5" name="Picture 5"/>
            <wp:cNvGraphicFramePr>
              <a:graphicFrameLocks noChangeAspect="1"/>
            </wp:cNvGraphicFramePr>
            <a:graphic>
              <a:graphicData uri="http://schemas.openxmlformats.org/drawingml/2006/picture">
                <pic:pic>
                  <pic:nvPicPr>
                    <pic:cNvPr id="0" name="05_analytics_watchlist.png"/>
                    <pic:cNvPicPr/>
                  </pic:nvPicPr>
                  <pic:blipFill>
                    <a:blip r:embed="rId15"/>
                    <a:stretch>
                      <a:fillRect/>
                    </a:stretch>
                  </pic:blipFill>
                  <pic:spPr>
                    <a:xfrm>
                      <a:off x="0" y="0"/>
                      <a:ext cx="5989320" cy="3144393"/>
                    </a:xfrm>
                    <a:prstGeom prst="rect"/>
                  </pic:spPr>
                </pic:pic>
              </a:graphicData>
            </a:graphic>
          </wp:inline>
        </w:drawing>
      </w:r>
    </w:p>
    <w:p>
      <w:pPr>
        <w:spacing w:before="60" w:after="160"/>
        <w:jc w:val="center"/>
        <w:keepNext/>
      </w:pPr>
      <w:r>
        <w:rPr>
          <w:rFonts w:ascii="Calibri" w:hAnsi="Calibri" w:eastAsia="Calibri"/>
          <w:i/>
          <w:color w:val="6E7167"/>
          <w:sz w:val="17"/>
        </w:rPr>
        <w:t>Figure 7. AI analytics, watchlist correlation, alert generation and investigation paths.</w:t>
      </w:r>
    </w:p>
    <w:p>
      <w:pPr>
        <w:pStyle w:val="Heading2"/>
        <w:keepNext/>
        <w:pageBreakBefore w:val="0"/>
      </w:pPr>
      <w:r>
        <w:t>7.2  Journey and investigation</w:t>
      </w:r>
    </w:p>
    <w:p>
      <w:pPr>
        <w:spacing w:before="0" w:after="100" w:line="269" w:lineRule="auto"/>
        <w:jc w:val="left"/>
      </w:pPr>
      <w:r>
        <w:rPr>
          <w:rFonts w:ascii="Calibri" w:hAnsi="Calibri" w:eastAsia="Calibri"/>
          <w:i w:val="0"/>
          <w:color w:val="1A1B17"/>
          <w:sz w:val="21"/>
        </w:rPr>
        <w:t>Journey search orders sightings for a normalised plate by source time and joins each stop to camera coordinates. The same database query supplies the map, timeline and JSON, CSV, HTML or PDF exports, which keeps the formats consistent.</w:t>
      </w:r>
    </w:p>
    <w:p>
      <w:pPr>
        <w:spacing w:before="0" w:after="100" w:line="269" w:lineRule="auto"/>
        <w:jc w:val="left"/>
      </w:pPr>
      <w:r>
        <w:rPr>
          <w:rFonts w:ascii="Calibri" w:hAnsi="Calibri" w:eastAsia="Calibri"/>
          <w:i w:val="0"/>
          <w:color w:val="1A1B17"/>
          <w:sz w:val="21"/>
        </w:rPr>
        <w:t>Investigate normalises and hashes uploaded recordings, then runs vehicle or person tracking. Plate search supports exact and fuzzy review. Person-photo search returns ranked appearance similarity without asserting identity. Subject links require an exact plate match or an explicit operator decision.</w:t>
      </w:r>
    </w:p>
    <w:p>
      <w:pPr>
        <w:pStyle w:val="Heading2"/>
        <w:keepNext/>
        <w:pageBreakBefore w:val="0"/>
      </w:pPr>
      <w:r>
        <w:t>7.3  Watchlist sources and governed person matching</w:t>
      </w:r>
    </w:p>
    <w:p>
      <w:pPr>
        <w:spacing w:before="0" w:after="100" w:line="269" w:lineRule="auto"/>
        <w:jc w:val="left"/>
      </w:pPr>
      <w:r>
        <w:rPr>
          <w:rFonts w:ascii="Calibri" w:hAnsi="Calibri" w:eastAsia="Calibri"/>
          <w:i w:val="0"/>
          <w:color w:val="1A1B17"/>
          <w:sz w:val="21"/>
        </w:rPr>
        <w:t>The active path matches vehicle plates. The same governed contract can accept authorised stolen-vehicle, blacklisted-vehicle, suspect, wanted-person and missing-person lists. Each entry keeps ownership, severity, validity, classification and access rules.</w:t>
      </w:r>
    </w:p>
    <w:p>
      <w:pPr>
        <w:spacing w:before="0" w:after="100" w:line="269" w:lineRule="auto"/>
        <w:jc w:val="left"/>
      </w:pPr>
      <w:r>
        <w:rPr>
          <w:rFonts w:ascii="Calibri" w:hAnsi="Calibri" w:eastAsia="Calibri"/>
          <w:i w:val="0"/>
          <w:color w:val="1A1B17"/>
          <w:sz w:val="21"/>
        </w:rPr>
        <w:t>A minimal local projection keeps live correlation available when an external database is offline. Personal details are not copied into the observation store. Any authorised single-record enrichment lookup records the operator, purpose, entity, time and result.</w:t>
      </w:r>
    </w:p>
    <w:p>
      <w:pPr>
        <w:spacing w:before="0" w:after="100" w:line="269" w:lineRule="auto"/>
        <w:jc w:val="left"/>
      </w:pPr>
      <w:r>
        <w:rPr>
          <w:rFonts w:ascii="Calibri" w:hAnsi="Calibri" w:eastAsia="Calibri"/>
          <w:i w:val="0"/>
          <w:color w:val="1A1B17"/>
          <w:sz w:val="21"/>
        </w:rPr>
        <w:t>Facial recognition uses the same observation contract only after legal authorisation, privacy review, controlled enrolment and expiry, representative accuracy testing and human confirmation. A face or appearance result is an investigative lead, not a confirmed identity.</w:t>
      </w:r>
    </w:p>
    <w:p>
      <w:pPr>
        <w:pStyle w:val="Heading1"/>
        <w:keepNext/>
        <w:pageBreakBefore w:val="0"/>
      </w:pPr>
      <w:r>
        <w:t>8  Alert workflow and operator console</w:t>
      </w:r>
    </w:p>
    <w:p>
      <w:pPr>
        <w:pStyle w:val="Heading2"/>
        <w:keepNext/>
        <w:pageBreakBefore w:val="0"/>
      </w:pPr>
      <w:r>
        <w:t>8.1  Prioritisation</w:t>
      </w:r>
    </w:p>
    <w:p>
      <w:pPr>
        <w:spacing w:before="0" w:after="100" w:line="269" w:lineRule="auto"/>
        <w:jc w:val="left"/>
      </w:pPr>
      <w:r>
        <w:rPr>
          <w:rFonts w:ascii="Calibri" w:hAnsi="Calibri" w:eastAsia="Calibri"/>
          <w:i w:val="0"/>
          <w:color w:val="1A1B17"/>
          <w:sz w:val="21"/>
        </w:rPr>
        <w:t>The alert queue is ordered first by watchlist severity, then by match confidence and source event time. A specific watchlist match ranks above a generic behavioural alert. The statewide policy may also use incident proximity, repeat detections on a plausible route, department rules and time-of-day rules. These policy inputs remain configurable and auditable.</w:t>
      </w:r>
    </w:p>
    <w:tbl>
      <w:tblPr>
        <w:tblW w:type="dxa" w:w="9388"/>
        <w:tblLayout w:type="fixed"/>
        <w:tblLook w:firstColumn="1" w:firstRow="1" w:lastColumn="0" w:lastRow="0" w:noHBand="0" w:noVBand="1" w:val="04A0"/>
        <w:jc w:val="center"/>
        <w:tblInd w:w="0" w:type="dxa"/>
      </w:tblPr>
      <w:tblGrid>
        <w:gridCol w:w="1670"/>
        <w:gridCol w:w="259"/>
        <w:gridCol w:w="1670"/>
        <w:gridCol w:w="259"/>
        <w:gridCol w:w="1670"/>
        <w:gridCol w:w="259"/>
        <w:gridCol w:w="1670"/>
        <w:gridCol w:w="259"/>
        <w:gridCol w:w="1670"/>
      </w:tblGrid>
      <w:tr>
        <w:trPr>
          <w:cantSplit/>
        </w:trPr>
        <w:tc>
          <w:tcPr>
            <w:tcW w:type="dxa" w:w="1670"/>
            <w:vAlign w:val="center"/>
            <w:shd w:fill="E3EDE8"/>
            <w:tcMar>
              <w:top w:w="160" w:type="dxa"/>
              <w:start w:w="90" w:type="dxa"/>
              <w:bottom w:w="160" w:type="dxa"/>
              <w:end w:w="90" w:type="dxa"/>
            </w:tcMar>
          </w:tcPr>
          <w:p>
            <w:pPr>
              <w:spacing w:before="0" w:after="0"/>
              <w:jc w:val="center"/>
            </w:pPr>
            <w:r>
              <w:rPr>
                <w:rFonts w:ascii="Calibri" w:hAnsi="Calibri" w:eastAsia="Calibri"/>
                <w:b/>
                <w:color w:val="0B544A"/>
                <w:sz w:val="17"/>
              </w:rPr>
              <w:t>Severity and</w:t>
              <w:br/>
              <w:t>alert type</w:t>
            </w:r>
          </w:p>
        </w:tc>
        <w:tc>
          <w:tcPr>
            <w:tcW w:type="dxa" w:w="259"/>
            <w:vAlign w:val="center"/>
            <w:tcMar>
              <w:top w:w="0" w:type="dxa"/>
              <w:start w:w="0" w:type="dxa"/>
              <w:bottom w:w="0" w:type="dxa"/>
              <w:end w:w="0" w:type="dxa"/>
            </w:tcMar>
          </w:tcPr>
          <w:p>
            <w:pPr>
              <w:spacing w:before="0" w:after="0"/>
              <w:jc w:val="center"/>
            </w:pPr>
            <w:r>
              <w:rPr>
                <w:rFonts w:ascii="Consolas" w:hAnsi="Consolas" w:eastAsia="Consolas"/>
                <w:b/>
                <w:color w:val="9A5720"/>
                <w:sz w:val="28"/>
              </w:rPr>
              <w:t>&gt;</w:t>
            </w:r>
          </w:p>
        </w:tc>
        <w:tc>
          <w:tcPr>
            <w:tcW w:type="dxa" w:w="1670"/>
            <w:vAlign w:val="center"/>
            <w:shd w:fill="E3EDE8"/>
            <w:tcMar>
              <w:top w:w="160" w:type="dxa"/>
              <w:start w:w="90" w:type="dxa"/>
              <w:bottom w:w="160" w:type="dxa"/>
              <w:end w:w="90" w:type="dxa"/>
            </w:tcMar>
          </w:tcPr>
          <w:p>
            <w:pPr>
              <w:spacing w:before="0" w:after="0"/>
              <w:jc w:val="center"/>
            </w:pPr>
            <w:r>
              <w:rPr>
                <w:rFonts w:ascii="Calibri" w:hAnsi="Calibri" w:eastAsia="Calibri"/>
                <w:b/>
                <w:color w:val="0B544A"/>
                <w:sz w:val="17"/>
              </w:rPr>
              <w:t>Match confidence</w:t>
              <w:br/>
              <w:t>and source time</w:t>
            </w:r>
          </w:p>
        </w:tc>
        <w:tc>
          <w:tcPr>
            <w:tcW w:type="dxa" w:w="259"/>
            <w:vAlign w:val="center"/>
            <w:tcMar>
              <w:top w:w="0" w:type="dxa"/>
              <w:start w:w="0" w:type="dxa"/>
              <w:bottom w:w="0" w:type="dxa"/>
              <w:end w:w="0" w:type="dxa"/>
            </w:tcMar>
          </w:tcPr>
          <w:p>
            <w:pPr>
              <w:spacing w:before="0" w:after="0"/>
              <w:jc w:val="center"/>
            </w:pPr>
            <w:r>
              <w:rPr>
                <w:rFonts w:ascii="Consolas" w:hAnsi="Consolas" w:eastAsia="Consolas"/>
                <w:b/>
                <w:color w:val="9A5720"/>
                <w:sz w:val="28"/>
              </w:rPr>
              <w:t>&gt;</w:t>
            </w:r>
          </w:p>
        </w:tc>
        <w:tc>
          <w:tcPr>
            <w:tcW w:type="dxa" w:w="1670"/>
            <w:vAlign w:val="center"/>
            <w:shd w:fill="E3EDE8"/>
            <w:tcMar>
              <w:top w:w="160" w:type="dxa"/>
              <w:start w:w="90" w:type="dxa"/>
              <w:bottom w:w="160" w:type="dxa"/>
              <w:end w:w="90" w:type="dxa"/>
            </w:tcMar>
          </w:tcPr>
          <w:p>
            <w:pPr>
              <w:spacing w:before="0" w:after="0"/>
              <w:jc w:val="center"/>
            </w:pPr>
            <w:r>
              <w:rPr>
                <w:rFonts w:ascii="Calibri" w:hAnsi="Calibri" w:eastAsia="Calibri"/>
                <w:b/>
                <w:color w:val="0B544A"/>
                <w:sz w:val="17"/>
              </w:rPr>
              <w:t>Department and</w:t>
              <w:br/>
              <w:t>camera routing</w:t>
            </w:r>
          </w:p>
        </w:tc>
        <w:tc>
          <w:tcPr>
            <w:tcW w:type="dxa" w:w="259"/>
            <w:vAlign w:val="center"/>
            <w:tcMar>
              <w:top w:w="0" w:type="dxa"/>
              <w:start w:w="0" w:type="dxa"/>
              <w:bottom w:w="0" w:type="dxa"/>
              <w:end w:w="0" w:type="dxa"/>
            </w:tcMar>
          </w:tcPr>
          <w:p>
            <w:pPr>
              <w:spacing w:before="0" w:after="0"/>
              <w:jc w:val="center"/>
            </w:pPr>
            <w:r>
              <w:rPr>
                <w:rFonts w:ascii="Consolas" w:hAnsi="Consolas" w:eastAsia="Consolas"/>
                <w:b/>
                <w:color w:val="9A5720"/>
                <w:sz w:val="28"/>
              </w:rPr>
              <w:t>&gt;</w:t>
            </w:r>
          </w:p>
        </w:tc>
        <w:tc>
          <w:tcPr>
            <w:tcW w:type="dxa" w:w="1670"/>
            <w:vAlign w:val="center"/>
            <w:shd w:fill="E3EDE8"/>
            <w:tcMar>
              <w:top w:w="160" w:type="dxa"/>
              <w:start w:w="90" w:type="dxa"/>
              <w:bottom w:w="160" w:type="dxa"/>
              <w:end w:w="90" w:type="dxa"/>
            </w:tcMar>
          </w:tcPr>
          <w:p>
            <w:pPr>
              <w:spacing w:before="0" w:after="0"/>
              <w:jc w:val="center"/>
            </w:pPr>
            <w:r>
              <w:rPr>
                <w:rFonts w:ascii="Calibri" w:hAnsi="Calibri" w:eastAsia="Calibri"/>
                <w:b/>
                <w:color w:val="0B544A"/>
                <w:sz w:val="17"/>
              </w:rPr>
              <w:t>Rate limit and</w:t>
              <w:br/>
              <w:t>deduplication</w:t>
            </w:r>
          </w:p>
        </w:tc>
        <w:tc>
          <w:tcPr>
            <w:tcW w:type="dxa" w:w="259"/>
            <w:vAlign w:val="center"/>
            <w:tcMar>
              <w:top w:w="0" w:type="dxa"/>
              <w:start w:w="0" w:type="dxa"/>
              <w:bottom w:w="0" w:type="dxa"/>
              <w:end w:w="0" w:type="dxa"/>
            </w:tcMar>
          </w:tcPr>
          <w:p>
            <w:pPr>
              <w:spacing w:before="0" w:after="0"/>
              <w:jc w:val="center"/>
            </w:pPr>
            <w:r>
              <w:rPr>
                <w:rFonts w:ascii="Consolas" w:hAnsi="Consolas" w:eastAsia="Consolas"/>
                <w:b/>
                <w:color w:val="9A5720"/>
                <w:sz w:val="28"/>
              </w:rPr>
              <w:t>&gt;</w:t>
            </w:r>
          </w:p>
        </w:tc>
        <w:tc>
          <w:tcPr>
            <w:tcW w:type="dxa" w:w="1670"/>
            <w:vAlign w:val="center"/>
            <w:shd w:fill="E3EDE8"/>
            <w:tcMar>
              <w:top w:w="160" w:type="dxa"/>
              <w:start w:w="90" w:type="dxa"/>
              <w:bottom w:w="160" w:type="dxa"/>
              <w:end w:w="90" w:type="dxa"/>
            </w:tcMar>
          </w:tcPr>
          <w:p>
            <w:pPr>
              <w:spacing w:before="0" w:after="0"/>
              <w:jc w:val="center"/>
            </w:pPr>
            <w:r>
              <w:rPr>
                <w:rFonts w:ascii="Calibri" w:hAnsi="Calibri" w:eastAsia="Calibri"/>
                <w:b/>
                <w:color w:val="0B544A"/>
                <w:sz w:val="17"/>
              </w:rPr>
              <w:t>Prioritised</w:t>
              <w:br/>
              <w:t>operator queue</w:t>
            </w:r>
          </w:p>
        </w:tc>
      </w:tr>
    </w:tbl>
    <w:p>
      <w:pPr>
        <w:spacing w:before="60" w:after="160"/>
        <w:jc w:val="center"/>
        <w:keepNext/>
      </w:pPr>
      <w:r>
        <w:rPr>
          <w:rFonts w:ascii="Calibri" w:hAnsi="Calibri" w:eastAsia="Calibri"/>
          <w:i/>
          <w:color w:val="6E7167"/>
          <w:sz w:val="17"/>
        </w:rPr>
        <w:t>Figure 8. Alert prioritisation and queueing.</w:t>
      </w:r>
    </w:p>
    <w:p>
      <w:pPr>
        <w:pStyle w:val="Heading2"/>
        <w:keepNext/>
        <w:pageBreakBefore w:val="0"/>
      </w:pPr>
      <w:r>
        <w:t>8.2  Notification and routing</w:t>
      </w:r>
    </w:p>
    <w:tbl>
      <w:tblPr>
        <w:tblW w:type="dxa" w:w="9648"/>
        <w:jc w:val="center"/>
        <w:tblLayout w:type="fixed"/>
        <w:tblLook w:firstColumn="1" w:firstRow="1" w:lastColumn="0" w:lastRow="0" w:noHBand="0" w:noVBand="1" w:val="04A0"/>
        <w:tblInd w:w="0" w:type="dxa"/>
        <w:tblBorders>
          <w:top w:val="single" w:sz="7" w:space="0" w:color="BDB7A5"/>
          <w:left w:val="single" w:sz="7" w:space="0" w:color="BDB7A5"/>
          <w:bottom w:val="single" w:sz="7" w:space="0" w:color="BDB7A5"/>
          <w:right w:val="single" w:sz="7" w:space="0" w:color="BDB7A5"/>
          <w:insideH w:val="single" w:sz="7" w:space="0" w:color="BDB7A5"/>
          <w:insideV w:val="single" w:sz="7" w:space="0" w:color="BDB7A5"/>
        </w:tblBorders>
      </w:tblPr>
      <w:tblGrid>
        <w:gridCol w:w="1612"/>
        <w:gridCol w:w="2678"/>
        <w:gridCol w:w="2678"/>
        <w:gridCol w:w="2678"/>
      </w:tblGrid>
      <w:tr>
        <w:trPr>
          <w:cantSplit/>
        </w:trPr>
        <w:tc>
          <w:tcPr>
            <w:tcW w:type="dxa" w:w="1612"/>
            <w:vAlign w:val="center"/>
            <w:shd w:fill="0B544A"/>
            <w:tcMar>
              <w:top w:w="130" w:type="dxa"/>
              <w:start w:w="90" w:type="dxa"/>
              <w:bottom w:w="130" w:type="dxa"/>
              <w:end w:w="90" w:type="dxa"/>
            </w:tcMar>
          </w:tcPr>
          <w:p>
            <w:pPr>
              <w:spacing w:after="0"/>
              <w:jc w:val="center"/>
            </w:pPr>
            <w:r>
              <w:rPr>
                <w:rFonts w:ascii="Consolas" w:hAnsi="Consolas" w:eastAsia="Consolas"/>
                <w:b/>
                <w:color w:val="FFFFFF"/>
                <w:sz w:val="15"/>
              </w:rPr>
              <w:t>ROUTING POLICY</w:t>
            </w:r>
          </w:p>
        </w:tc>
        <w:tc>
          <w:tcPr>
            <w:tcW w:type="dxa" w:w="2678"/>
            <w:vAlign w:val="center"/>
            <w:shd w:fill="F7F4EC"/>
            <w:tcMar>
              <w:top w:w="130" w:type="dxa"/>
              <w:start w:w="90" w:type="dxa"/>
              <w:bottom w:w="130" w:type="dxa"/>
              <w:end w:w="90" w:type="dxa"/>
            </w:tcMar>
          </w:tcPr>
          <w:p>
            <w:pPr>
              <w:spacing w:after="0"/>
              <w:jc w:val="center"/>
            </w:pPr>
            <w:r>
              <w:rPr>
                <w:rFonts w:ascii="Calibri" w:hAnsi="Calibri" w:eastAsia="Calibri"/>
                <w:b/>
                <w:color w:val="0B544A"/>
                <w:sz w:val="16"/>
              </w:rPr>
              <w:t>Scope</w:t>
            </w:r>
            <w:r>
              <w:rPr>
                <w:rFonts w:ascii="Calibri" w:hAnsi="Calibri" w:eastAsia="Calibri"/>
                <w:color w:val="3E4139"/>
                <w:sz w:val="15"/>
              </w:rPr>
              <w:br/>
              <w:t>Department, camera group and alert type</w:t>
            </w:r>
          </w:p>
        </w:tc>
        <w:tc>
          <w:tcPr>
            <w:tcW w:type="dxa" w:w="2678"/>
            <w:vAlign w:val="center"/>
            <w:shd w:fill="F7F4EC"/>
            <w:tcMar>
              <w:top w:w="130" w:type="dxa"/>
              <w:start w:w="90" w:type="dxa"/>
              <w:bottom w:w="130" w:type="dxa"/>
              <w:end w:w="90" w:type="dxa"/>
            </w:tcMar>
          </w:tcPr>
          <w:p>
            <w:pPr>
              <w:spacing w:after="0"/>
              <w:jc w:val="center"/>
            </w:pPr>
            <w:r>
              <w:rPr>
                <w:rFonts w:ascii="Calibri" w:hAnsi="Calibri" w:eastAsia="Calibri"/>
                <w:b/>
                <w:color w:val="0B544A"/>
                <w:sz w:val="16"/>
              </w:rPr>
              <w:t>Priority</w:t>
            </w:r>
            <w:r>
              <w:rPr>
                <w:rFonts w:ascii="Calibri" w:hAnsi="Calibri" w:eastAsia="Calibri"/>
                <w:color w:val="3E4139"/>
                <w:sz w:val="15"/>
              </w:rPr>
              <w:br/>
              <w:t>Severity, confidence and time of day</w:t>
            </w:r>
          </w:p>
        </w:tc>
        <w:tc>
          <w:tcPr>
            <w:tcW w:type="dxa" w:w="2678"/>
            <w:vAlign w:val="center"/>
            <w:shd w:fill="F7F4EC"/>
            <w:tcMar>
              <w:top w:w="130" w:type="dxa"/>
              <w:start w:w="90" w:type="dxa"/>
              <w:bottom w:w="130" w:type="dxa"/>
              <w:end w:w="90" w:type="dxa"/>
            </w:tcMar>
          </w:tcPr>
          <w:p>
            <w:pPr>
              <w:spacing w:after="0"/>
              <w:jc w:val="center"/>
            </w:pPr>
            <w:r>
              <w:rPr>
                <w:rFonts w:ascii="Calibri" w:hAnsi="Calibri" w:eastAsia="Calibri"/>
                <w:b/>
                <w:color w:val="0B544A"/>
                <w:sz w:val="16"/>
              </w:rPr>
              <w:t>Escalation</w:t>
            </w:r>
            <w:r>
              <w:rPr>
                <w:rFonts w:ascii="Calibri" w:hAnsi="Calibri" w:eastAsia="Calibri"/>
                <w:color w:val="3E4139"/>
                <w:sz w:val="15"/>
              </w:rPr>
              <w:br/>
              <w:t>Next authorised group if not acknowledged</w:t>
            </w:r>
          </w:p>
        </w:tc>
      </w:tr>
      <w:tr>
        <w:trPr>
          <w:cantSplit/>
        </w:trPr>
        <w:tc>
          <w:tcPr>
            <w:tcW w:type="dxa" w:w="1612"/>
            <w:vAlign w:val="center"/>
            <w:shd w:fill="0B544A"/>
            <w:tcMar>
              <w:top w:w="130" w:type="dxa"/>
              <w:start w:w="90" w:type="dxa"/>
              <w:bottom w:w="130" w:type="dxa"/>
              <w:end w:w="90" w:type="dxa"/>
            </w:tcMar>
          </w:tcPr>
          <w:p>
            <w:pPr>
              <w:spacing w:after="0"/>
              <w:jc w:val="center"/>
            </w:pPr>
            <w:r>
              <w:rPr>
                <w:rFonts w:ascii="Consolas" w:hAnsi="Consolas" w:eastAsia="Consolas"/>
                <w:b/>
                <w:color w:val="FFFFFF"/>
                <w:sz w:val="15"/>
              </w:rPr>
              <w:t>PRIMARY ROUTE</w:t>
            </w:r>
          </w:p>
        </w:tc>
        <w:tc>
          <w:tcPr>
            <w:tcW w:type="dxa" w:w="2678"/>
            <w:vAlign w:val="center"/>
            <w:shd w:fill="E3EDE8"/>
            <w:tcMar>
              <w:top w:w="130" w:type="dxa"/>
              <w:start w:w="90" w:type="dxa"/>
              <w:bottom w:w="130" w:type="dxa"/>
              <w:end w:w="90" w:type="dxa"/>
            </w:tcMar>
          </w:tcPr>
          <w:p>
            <w:pPr>
              <w:spacing w:after="0"/>
              <w:jc w:val="center"/>
            </w:pPr>
            <w:r>
              <w:rPr>
                <w:rFonts w:ascii="Calibri" w:hAnsi="Calibri" w:eastAsia="Calibri"/>
                <w:b/>
                <w:color w:val="0B544A"/>
                <w:sz w:val="16"/>
              </w:rPr>
              <w:t>Operator console</w:t>
            </w:r>
            <w:r>
              <w:rPr>
                <w:rFonts w:ascii="Calibri" w:hAnsi="Calibri" w:eastAsia="Calibri"/>
                <w:color w:val="3E4139"/>
                <w:sz w:val="15"/>
              </w:rPr>
              <w:br/>
              <w:t>Department-filtered real-time queue</w:t>
            </w:r>
          </w:p>
        </w:tc>
        <w:tc>
          <w:tcPr>
            <w:tcW w:type="dxa" w:w="2678"/>
            <w:vAlign w:val="center"/>
            <w:shd w:fill="E3EDE8"/>
            <w:tcMar>
              <w:top w:w="130" w:type="dxa"/>
              <w:start w:w="90" w:type="dxa"/>
              <w:bottom w:w="130" w:type="dxa"/>
              <w:end w:w="90" w:type="dxa"/>
            </w:tcMar>
          </w:tcPr>
          <w:p>
            <w:pPr>
              <w:spacing w:after="0"/>
              <w:jc w:val="center"/>
            </w:pPr>
            <w:r>
              <w:rPr>
                <w:rFonts w:ascii="Calibri" w:hAnsi="Calibri" w:eastAsia="Calibri"/>
                <w:b/>
                <w:color w:val="0B544A"/>
                <w:sz w:val="16"/>
              </w:rPr>
              <w:t>Control room</w:t>
            </w:r>
            <w:r>
              <w:rPr>
                <w:rFonts w:ascii="Calibri" w:hAnsi="Calibri" w:eastAsia="Calibri"/>
                <w:color w:val="3E4139"/>
                <w:sz w:val="15"/>
              </w:rPr>
              <w:br/>
              <w:t>District or zone display</w:t>
            </w:r>
          </w:p>
        </w:tc>
        <w:tc>
          <w:tcPr>
            <w:tcW w:type="dxa" w:w="2678"/>
            <w:vAlign w:val="center"/>
            <w:shd w:fill="E3EDE8"/>
            <w:tcMar>
              <w:top w:w="130" w:type="dxa"/>
              <w:start w:w="90" w:type="dxa"/>
              <w:bottom w:w="130" w:type="dxa"/>
              <w:end w:w="90" w:type="dxa"/>
            </w:tcMar>
          </w:tcPr>
          <w:p>
            <w:pPr>
              <w:spacing w:after="0"/>
              <w:jc w:val="center"/>
            </w:pPr>
            <w:r>
              <w:rPr>
                <w:rFonts w:ascii="Calibri" w:hAnsi="Calibri" w:eastAsia="Calibri"/>
                <w:b/>
                <w:color w:val="0B544A"/>
                <w:sz w:val="16"/>
              </w:rPr>
              <w:t>Audit trail</w:t>
            </w:r>
            <w:r>
              <w:rPr>
                <w:rFonts w:ascii="Calibri" w:hAnsi="Calibri" w:eastAsia="Calibri"/>
                <w:color w:val="3E4139"/>
                <w:sz w:val="15"/>
              </w:rPr>
              <w:br/>
              <w:t>Delivery, acknowledgement and resolution</w:t>
            </w:r>
          </w:p>
        </w:tc>
      </w:tr>
      <w:tr>
        <w:trPr>
          <w:cantSplit/>
        </w:trPr>
        <w:tc>
          <w:tcPr>
            <w:tcW w:type="dxa" w:w="1612"/>
            <w:vAlign w:val="center"/>
            <w:shd w:fill="0B544A"/>
            <w:tcMar>
              <w:top w:w="130" w:type="dxa"/>
              <w:start w:w="90" w:type="dxa"/>
              <w:bottom w:w="130" w:type="dxa"/>
              <w:end w:w="90" w:type="dxa"/>
            </w:tcMar>
          </w:tcPr>
          <w:p>
            <w:pPr>
              <w:spacing w:after="0"/>
              <w:jc w:val="center"/>
            </w:pPr>
            <w:r>
              <w:rPr>
                <w:rFonts w:ascii="Consolas" w:hAnsi="Consolas" w:eastAsia="Consolas"/>
                <w:b/>
                <w:color w:val="FFFFFF"/>
                <w:sz w:val="15"/>
              </w:rPr>
              <w:t>OPTIONAL ROUTES</w:t>
            </w:r>
          </w:p>
        </w:tc>
        <w:tc>
          <w:tcPr>
            <w:tcW w:type="dxa" w:w="2678"/>
            <w:vAlign w:val="center"/>
            <w:shd w:fill="EDF1EE"/>
            <w:tcMar>
              <w:top w:w="130" w:type="dxa"/>
              <w:start w:w="90" w:type="dxa"/>
              <w:bottom w:w="130" w:type="dxa"/>
              <w:end w:w="90" w:type="dxa"/>
            </w:tcMar>
          </w:tcPr>
          <w:p>
            <w:pPr>
              <w:spacing w:after="0"/>
              <w:jc w:val="center"/>
            </w:pPr>
            <w:r>
              <w:rPr>
                <w:rFonts w:ascii="Calibri" w:hAnsi="Calibri" w:eastAsia="Calibri"/>
                <w:b/>
                <w:color w:val="0B544A"/>
                <w:sz w:val="16"/>
              </w:rPr>
              <w:t>Mobile push</w:t>
            </w:r>
            <w:r>
              <w:rPr>
                <w:rFonts w:ascii="Calibri" w:hAnsi="Calibri" w:eastAsia="Calibri"/>
                <w:color w:val="3E4139"/>
                <w:sz w:val="15"/>
              </w:rPr>
              <w:br/>
              <w:t>High severity; minimal notification text</w:t>
            </w:r>
          </w:p>
        </w:tc>
        <w:tc>
          <w:tcPr>
            <w:tcW w:type="dxa" w:w="2678"/>
            <w:vAlign w:val="center"/>
            <w:shd w:fill="EDF1EE"/>
            <w:tcMar>
              <w:top w:w="130" w:type="dxa"/>
              <w:start w:w="90" w:type="dxa"/>
              <w:bottom w:w="130" w:type="dxa"/>
              <w:end w:w="90" w:type="dxa"/>
            </w:tcMar>
          </w:tcPr>
          <w:p>
            <w:pPr>
              <w:spacing w:after="0"/>
              <w:jc w:val="center"/>
            </w:pPr>
            <w:r>
              <w:rPr>
                <w:rFonts w:ascii="Calibri" w:hAnsi="Calibri" w:eastAsia="Calibri"/>
                <w:b/>
                <w:color w:val="0B544A"/>
                <w:sz w:val="16"/>
              </w:rPr>
              <w:t>SMS / email</w:t>
            </w:r>
            <w:r>
              <w:rPr>
                <w:rFonts w:ascii="Calibri" w:hAnsi="Calibri" w:eastAsia="Calibri"/>
                <w:color w:val="3E4139"/>
                <w:sz w:val="15"/>
              </w:rPr>
              <w:br/>
              <w:t>Rate-limited summary without evidence</w:t>
            </w:r>
          </w:p>
        </w:tc>
        <w:tc>
          <w:tcPr>
            <w:tcW w:type="dxa" w:w="2678"/>
            <w:vAlign w:val="center"/>
            <w:shd w:fill="EDF1EE"/>
            <w:tcMar>
              <w:top w:w="130" w:type="dxa"/>
              <w:start w:w="90" w:type="dxa"/>
              <w:bottom w:w="130" w:type="dxa"/>
              <w:end w:w="90" w:type="dxa"/>
            </w:tcMar>
          </w:tcPr>
          <w:p>
            <w:pPr>
              <w:spacing w:after="0"/>
              <w:jc w:val="center"/>
            </w:pPr>
            <w:r>
              <w:rPr>
                <w:rFonts w:ascii="Calibri" w:hAnsi="Calibri" w:eastAsia="Calibri"/>
                <w:b/>
                <w:color w:val="0B544A"/>
                <w:sz w:val="16"/>
              </w:rPr>
              <w:t>Webhook</w:t>
            </w:r>
            <w:r>
              <w:rPr>
                <w:rFonts w:ascii="Calibri" w:hAnsi="Calibri" w:eastAsia="Calibri"/>
                <w:color w:val="3E4139"/>
                <w:sz w:val="15"/>
              </w:rPr>
              <w:br/>
              <w:t>Signed delivery to an allowlisted endpoint</w:t>
            </w:r>
          </w:p>
        </w:tc>
      </w:tr>
    </w:tbl>
    <w:p>
      <w:pPr>
        <w:spacing w:before="60" w:after="160"/>
        <w:jc w:val="center"/>
        <w:keepNext/>
      </w:pPr>
      <w:r>
        <w:rPr>
          <w:rFonts w:ascii="Calibri" w:hAnsi="Calibri" w:eastAsia="Calibri"/>
          <w:i/>
          <w:color w:val="6E7167"/>
          <w:sz w:val="17"/>
        </w:rPr>
        <w:t>Figure 9. Alert notification and escalation routes.</w:t>
      </w:r>
    </w:p>
    <w:p>
      <w:pPr>
        <w:spacing w:before="0" w:after="100" w:line="269" w:lineRule="auto"/>
        <w:jc w:val="left"/>
      </w:pPr>
      <w:r>
        <w:rPr>
          <w:rFonts w:ascii="Calibri" w:hAnsi="Calibri" w:eastAsia="Calibri"/>
          <w:i w:val="0"/>
          <w:color w:val="1A1B17"/>
          <w:sz w:val="21"/>
        </w:rPr>
        <w:t>Routing evaluates department, camera group, severity, alert type and time of day. A configured escalation rule sends an unacknowledged high-severity alert to the next authorised group. Duplicate suppression, confidence thresholds and per-camera rate ceilings prevent one noisy feed from overwhelming the queue.</w:t>
      </w:r>
    </w:p>
    <w:p>
      <w:pPr>
        <w:pStyle w:val="Heading2"/>
        <w:keepNext/>
        <w:pageBreakBefore w:val="0"/>
      </w:pPr>
      <w:r>
        <w:t>8.3  Operator interaction</w:t>
      </w:r>
    </w:p>
    <w:p>
      <w:pPr>
        <w:spacing w:before="0" w:after="100" w:line="269" w:lineRule="auto"/>
        <w:jc w:val="left"/>
      </w:pPr>
      <w:r>
        <w:rPr>
          <w:rFonts w:ascii="Calibri" w:hAnsi="Calibri" w:eastAsia="Calibri"/>
          <w:i w:val="0"/>
          <w:color w:val="1A1B17"/>
          <w:sz w:val="21"/>
        </w:rPr>
        <w:t>The operator workspace groups work into Respond (Live, Alerts and Journey), Investigate (uploads, tracks and evidence) and Administer (registry, watchlists, access and audit). The interface reflects the user's role, while the server rechecks every data, action and media request.</w:t>
      </w:r>
    </w:p>
    <w:p>
      <w:pPr>
        <w:pStyle w:val="Heading1"/>
        <w:keepNext/>
        <w:pageBreakBefore/>
      </w:pPr>
      <w:r>
        <w:t>9  Target statewide architecture</w:t>
      </w:r>
    </w:p>
    <w:p>
      <w:pPr>
        <w:spacing w:before="0" w:after="100" w:line="269" w:lineRule="auto"/>
        <w:jc w:val="left"/>
      </w:pPr>
      <w:r>
        <w:rPr>
          <w:rFonts w:ascii="Calibri" w:hAnsi="Calibri" w:eastAsia="Calibri"/>
          <w:i w:val="0"/>
          <w:color w:val="1A1B17"/>
          <w:sz w:val="21"/>
        </w:rPr>
        <w:t>The target design supports approximately 80,000 registered cameras without centralising every video stream. It places capture and inference close to camera sites, moves observations through regional services, and keeps statewide records and policy at the centre. This section is a capacity design. Its planning values require benchmark and procurement validation.</w:t>
      </w:r>
    </w:p>
    <w:p>
      <w:pPr>
        <w:keepNext/>
        <w:spacing w:before="40" w:after="40"/>
        <w:jc w:val="center"/>
      </w:pPr>
      <w:r>
        <w:drawing>
          <wp:inline xmlns:a="http://schemas.openxmlformats.org/drawingml/2006/main" xmlns:pic="http://schemas.openxmlformats.org/drawingml/2006/picture">
            <wp:extent cx="5989320" cy="3593592"/>
            <wp:docPr id="6" name="Picture 6"/>
            <wp:cNvGraphicFramePr>
              <a:graphicFrameLocks noChangeAspect="1"/>
            </wp:cNvGraphicFramePr>
            <a:graphic>
              <a:graphicData uri="http://schemas.openxmlformats.org/drawingml/2006/picture">
                <pic:pic>
                  <pic:nvPicPr>
                    <pic:cNvPr id="0" name="06_statewide_architecture.png"/>
                    <pic:cNvPicPr/>
                  </pic:nvPicPr>
                  <pic:blipFill>
                    <a:blip r:embed="rId16"/>
                    <a:stretch>
                      <a:fillRect/>
                    </a:stretch>
                  </pic:blipFill>
                  <pic:spPr>
                    <a:xfrm>
                      <a:off x="0" y="0"/>
                      <a:ext cx="5989320" cy="3593592"/>
                    </a:xfrm>
                    <a:prstGeom prst="rect"/>
                  </pic:spPr>
                </pic:pic>
              </a:graphicData>
            </a:graphic>
          </wp:inline>
        </w:drawing>
      </w:r>
    </w:p>
    <w:p>
      <w:pPr>
        <w:spacing w:before="60" w:after="160"/>
        <w:jc w:val="center"/>
        <w:keepNext/>
      </w:pPr>
      <w:r>
        <w:rPr>
          <w:rFonts w:ascii="Calibri" w:hAnsi="Calibri" w:eastAsia="Calibri"/>
          <w:i/>
          <w:color w:val="6E7167"/>
          <w:sz w:val="17"/>
        </w:rPr>
        <w:t>Figure 10. Statewide edge, regional, central and command-centre architecture. Continuous video stays near its source.</w:t>
      </w:r>
    </w:p>
    <w:p>
      <w:pPr>
        <w:pStyle w:val="Heading2"/>
        <w:keepNext/>
        <w:pageBreakBefore w:val="0"/>
      </w:pPr>
      <w:r>
        <w:t>9.1  Tier responsibilities</w:t>
      </w:r>
    </w:p>
    <w:p>
      <w:pPr>
        <w:spacing w:before="0" w:after="100" w:line="269" w:lineRule="auto"/>
        <w:jc w:val="left"/>
      </w:pPr>
      <w:r>
        <w:rPr>
          <w:rFonts w:ascii="Calibri" w:hAnsi="Calibri" w:eastAsia="Calibri"/>
          <w:i w:val="0"/>
          <w:color w:val="1A1B17"/>
          <w:sz w:val="21"/>
        </w:rPr>
        <w:t>Edge nodes own source connectivity, bounded inference and store-forward buffering. Regional services preserve per-camera event order, relay on-demand media and stage requested evidence. The central platform holds master metadata, matching, search, policy and audit. Department, district and state views expose only the scope authorised for each command centre.</w:t>
      </w:r>
    </w:p>
    <w:p>
      <w:pPr>
        <w:pStyle w:val="Heading2"/>
        <w:keepNext/>
        <w:pageBreakBefore w:val="0"/>
      </w:pPr>
      <w:r>
        <w:t>9.2  Workload and capacity model</w:t>
      </w:r>
    </w:p>
    <w:tbl>
      <w:tblPr>
        <w:tblStyle w:val="TableGrid"/>
        <w:tblW w:type="dxa" w:w="9648"/>
        <w:jc w:val="center"/>
        <w:tblLayout w:type="fixed"/>
        <w:tblLook w:firstColumn="1" w:firstRow="1" w:lastColumn="0" w:lastRow="0" w:noHBand="0" w:noVBand="1" w:val="04A0"/>
        <w:tblInd w:w="0" w:type="dxa"/>
        <w:tblBorders>
          <w:top w:val="single" w:sz="6" w:space="0" w:color="D9D4C6"/>
          <w:left w:val="single" w:sz="6" w:space="0" w:color="D9D4C6"/>
          <w:bottom w:val="single" w:sz="6" w:space="0" w:color="D9D4C6"/>
          <w:right w:val="single" w:sz="6" w:space="0" w:color="D9D4C6"/>
          <w:insideH w:val="single" w:sz="6" w:space="0" w:color="D9D4C6"/>
          <w:insideV w:val="single" w:sz="6" w:space="0" w:color="D9D4C6"/>
        </w:tblBorders>
      </w:tblPr>
      <w:tblGrid>
        <w:gridCol w:w="2232"/>
        <w:gridCol w:w="1512"/>
        <w:gridCol w:w="1296"/>
        <w:gridCol w:w="4608"/>
      </w:tblGrid>
      <w:tr>
        <w:trPr>
          <w:tblHeader w:val="true"/>
        </w:trPr>
        <w:tc>
          <w:tcPr>
            <w:tcW w:type="dxa" w:w="2232"/>
            <w:shd w:fill="E3EDE8"/>
            <w:tcMar>
              <w:top w:w="105" w:type="dxa"/>
              <w:start w:w="120" w:type="dxa"/>
              <w:bottom w:w="105" w:type="dxa"/>
              <w:end w:w="120" w:type="dxa"/>
            </w:tcMar>
            <w:vAlign w:val="center"/>
          </w:tcPr>
          <w:p>
            <w:pPr>
              <w:spacing w:after="0"/>
            </w:pPr>
            <w:r>
              <w:rPr>
                <w:rFonts w:ascii="Calibri" w:hAnsi="Calibri" w:eastAsia="Calibri"/>
                <w:b/>
                <w:color w:val="0B544A"/>
                <w:sz w:val="17"/>
              </w:rPr>
              <w:t>Camera tier</w:t>
            </w:r>
          </w:p>
        </w:tc>
        <w:tc>
          <w:tcPr>
            <w:tcW w:type="dxa" w:w="1512"/>
            <w:shd w:fill="E3EDE8"/>
            <w:tcMar>
              <w:top w:w="105" w:type="dxa"/>
              <w:start w:w="120" w:type="dxa"/>
              <w:bottom w:w="105" w:type="dxa"/>
              <w:end w:w="120" w:type="dxa"/>
            </w:tcMar>
            <w:vAlign w:val="center"/>
          </w:tcPr>
          <w:p>
            <w:pPr>
              <w:spacing w:after="0"/>
            </w:pPr>
            <w:r>
              <w:rPr>
                <w:rFonts w:ascii="Calibri" w:hAnsi="Calibri" w:eastAsia="Calibri"/>
                <w:b/>
                <w:color w:val="0B544A"/>
                <w:sz w:val="17"/>
              </w:rPr>
              <w:t>Planning share</w:t>
            </w:r>
          </w:p>
        </w:tc>
        <w:tc>
          <w:tcPr>
            <w:tcW w:type="dxa" w:w="1296"/>
            <w:shd w:fill="E3EDE8"/>
            <w:tcMar>
              <w:top w:w="105" w:type="dxa"/>
              <w:start w:w="120" w:type="dxa"/>
              <w:bottom w:w="105" w:type="dxa"/>
              <w:end w:w="120" w:type="dxa"/>
            </w:tcMar>
            <w:vAlign w:val="center"/>
          </w:tcPr>
          <w:p>
            <w:pPr>
              <w:spacing w:after="0"/>
            </w:pPr>
            <w:r>
              <w:rPr>
                <w:rFonts w:ascii="Calibri" w:hAnsi="Calibri" w:eastAsia="Calibri"/>
                <w:b/>
                <w:color w:val="0B544A"/>
                <w:sz w:val="17"/>
              </w:rPr>
              <w:t>Cameras</w:t>
            </w:r>
          </w:p>
        </w:tc>
        <w:tc>
          <w:tcPr>
            <w:tcW w:type="dxa" w:w="4608"/>
            <w:shd w:fill="E3EDE8"/>
            <w:tcMar>
              <w:top w:w="105" w:type="dxa"/>
              <w:start w:w="120" w:type="dxa"/>
              <w:bottom w:w="105" w:type="dxa"/>
              <w:end w:w="120" w:type="dxa"/>
            </w:tcMar>
            <w:vAlign w:val="center"/>
          </w:tcPr>
          <w:p>
            <w:pPr>
              <w:spacing w:after="0"/>
            </w:pPr>
            <w:r>
              <w:rPr>
                <w:rFonts w:ascii="Calibri" w:hAnsi="Calibri" w:eastAsia="Calibri"/>
                <w:b/>
                <w:color w:val="0B544A"/>
                <w:sz w:val="17"/>
              </w:rPr>
              <w:t>Processing</w:t>
            </w:r>
          </w:p>
        </w:tc>
      </w:tr>
      <w:tr>
        <w:trPr>
          <w:cantSplit/>
        </w:trPr>
        <w:tc>
          <w:tcPr>
            <w:tcW w:type="dxa" w:w="2232"/>
            <w:tcMar>
              <w:top w:w="95" w:type="dxa"/>
              <w:start w:w="120" w:type="dxa"/>
              <w:bottom w:w="95" w:type="dxa"/>
              <w:end w:w="120" w:type="dxa"/>
            </w:tcMar>
            <w:vAlign w:val="center"/>
          </w:tcPr>
          <w:p>
            <w:pPr>
              <w:spacing w:after="0" w:line="259" w:lineRule="auto"/>
            </w:pPr>
            <w:r>
              <w:rPr>
                <w:rFonts w:ascii="Calibri" w:hAnsi="Calibri" w:eastAsia="Calibri"/>
                <w:color w:val="3E4139"/>
                <w:sz w:val="17"/>
              </w:rPr>
              <w:t>Continuous ANPR</w:t>
            </w:r>
          </w:p>
        </w:tc>
        <w:tc>
          <w:tcPr>
            <w:tcW w:type="dxa" w:w="1512"/>
            <w:tcMar>
              <w:top w:w="95" w:type="dxa"/>
              <w:start w:w="120" w:type="dxa"/>
              <w:bottom w:w="95" w:type="dxa"/>
              <w:end w:w="120" w:type="dxa"/>
            </w:tcMar>
            <w:vAlign w:val="center"/>
          </w:tcPr>
          <w:p>
            <w:pPr>
              <w:spacing w:after="0" w:line="259" w:lineRule="auto"/>
            </w:pPr>
            <w:r>
              <w:rPr>
                <w:rFonts w:ascii="Calibri" w:hAnsi="Calibri" w:eastAsia="Calibri"/>
                <w:color w:val="3E4139"/>
                <w:sz w:val="17"/>
              </w:rPr>
              <w:t>10%</w:t>
            </w:r>
          </w:p>
        </w:tc>
        <w:tc>
          <w:tcPr>
            <w:tcW w:type="dxa" w:w="1296"/>
            <w:tcMar>
              <w:top w:w="95" w:type="dxa"/>
              <w:start w:w="120" w:type="dxa"/>
              <w:bottom w:w="95" w:type="dxa"/>
              <w:end w:w="120" w:type="dxa"/>
            </w:tcMar>
            <w:vAlign w:val="center"/>
          </w:tcPr>
          <w:p>
            <w:pPr>
              <w:spacing w:after="0" w:line="259" w:lineRule="auto"/>
            </w:pPr>
            <w:r>
              <w:rPr>
                <w:rFonts w:ascii="Calibri" w:hAnsi="Calibri" w:eastAsia="Calibri"/>
                <w:color w:val="3E4139"/>
                <w:sz w:val="17"/>
              </w:rPr>
              <w:t>8,000</w:t>
            </w:r>
          </w:p>
        </w:tc>
        <w:tc>
          <w:tcPr>
            <w:tcW w:type="dxa" w:w="4608"/>
            <w:tcMar>
              <w:top w:w="95" w:type="dxa"/>
              <w:start w:w="120" w:type="dxa"/>
              <w:bottom w:w="95" w:type="dxa"/>
              <w:end w:w="120" w:type="dxa"/>
            </w:tcMar>
            <w:vAlign w:val="center"/>
          </w:tcPr>
          <w:p>
            <w:pPr>
              <w:spacing w:after="0" w:line="259" w:lineRule="auto"/>
            </w:pPr>
            <w:r>
              <w:rPr>
                <w:rFonts w:ascii="Calibri" w:hAnsi="Calibri" w:eastAsia="Calibri"/>
                <w:color w:val="3E4139"/>
                <w:sz w:val="17"/>
              </w:rPr>
              <w:t>Plate-capable sites, sampled at 5 to 10 frames per second.</w:t>
            </w:r>
          </w:p>
        </w:tc>
      </w:tr>
      <w:tr>
        <w:trPr>
          <w:cantSplit/>
        </w:trPr>
        <w:tc>
          <w:tcPr>
            <w:tcW w:type="dxa" w:w="2232"/>
            <w:tcMar>
              <w:top w:w="95" w:type="dxa"/>
              <w:start w:w="120" w:type="dxa"/>
              <w:bottom w:w="95" w:type="dxa"/>
              <w:end w:w="120" w:type="dxa"/>
            </w:tcMar>
            <w:vAlign w:val="center"/>
            <w:shd w:fill="FAF8F2"/>
          </w:tcPr>
          <w:p>
            <w:pPr>
              <w:spacing w:after="0" w:line="259" w:lineRule="auto"/>
            </w:pPr>
            <w:r>
              <w:rPr>
                <w:rFonts w:ascii="Calibri" w:hAnsi="Calibri" w:eastAsia="Calibri"/>
                <w:color w:val="3E4139"/>
                <w:sz w:val="17"/>
              </w:rPr>
              <w:t>Light analytics</w:t>
            </w:r>
          </w:p>
        </w:tc>
        <w:tc>
          <w:tcPr>
            <w:tcW w:type="dxa" w:w="1512"/>
            <w:tcMar>
              <w:top w:w="95" w:type="dxa"/>
              <w:start w:w="120" w:type="dxa"/>
              <w:bottom w:w="95" w:type="dxa"/>
              <w:end w:w="120" w:type="dxa"/>
            </w:tcMar>
            <w:vAlign w:val="center"/>
            <w:shd w:fill="FAF8F2"/>
          </w:tcPr>
          <w:p>
            <w:pPr>
              <w:spacing w:after="0" w:line="259" w:lineRule="auto"/>
            </w:pPr>
            <w:r>
              <w:rPr>
                <w:rFonts w:ascii="Calibri" w:hAnsi="Calibri" w:eastAsia="Calibri"/>
                <w:color w:val="3E4139"/>
                <w:sz w:val="17"/>
              </w:rPr>
              <w:t>20%</w:t>
            </w:r>
          </w:p>
        </w:tc>
        <w:tc>
          <w:tcPr>
            <w:tcW w:type="dxa" w:w="1296"/>
            <w:tcMar>
              <w:top w:w="95" w:type="dxa"/>
              <w:start w:w="120" w:type="dxa"/>
              <w:bottom w:w="95" w:type="dxa"/>
              <w:end w:w="120" w:type="dxa"/>
            </w:tcMar>
            <w:vAlign w:val="center"/>
            <w:shd w:fill="FAF8F2"/>
          </w:tcPr>
          <w:p>
            <w:pPr>
              <w:spacing w:after="0" w:line="259" w:lineRule="auto"/>
            </w:pPr>
            <w:r>
              <w:rPr>
                <w:rFonts w:ascii="Calibri" w:hAnsi="Calibri" w:eastAsia="Calibri"/>
                <w:color w:val="3E4139"/>
                <w:sz w:val="17"/>
              </w:rPr>
              <w:t>16,000</w:t>
            </w:r>
          </w:p>
        </w:tc>
        <w:tc>
          <w:tcPr>
            <w:tcW w:type="dxa" w:w="4608"/>
            <w:tcMar>
              <w:top w:w="95" w:type="dxa"/>
              <w:start w:w="120" w:type="dxa"/>
              <w:bottom w:w="95" w:type="dxa"/>
              <w:end w:w="120" w:type="dxa"/>
            </w:tcMar>
            <w:vAlign w:val="center"/>
            <w:shd w:fill="FAF8F2"/>
          </w:tcPr>
          <w:p>
            <w:pPr>
              <w:spacing w:after="0" w:line="259" w:lineRule="auto"/>
            </w:pPr>
            <w:r>
              <w:rPr>
                <w:rFonts w:ascii="Calibri" w:hAnsi="Calibri" w:eastAsia="Calibri"/>
                <w:color w:val="3E4139"/>
                <w:sz w:val="17"/>
              </w:rPr>
              <w:t>Detection, counting or authorised event rules, sampled at 1 to 2 frames per second.</w:t>
            </w:r>
          </w:p>
        </w:tc>
      </w:tr>
      <w:tr>
        <w:trPr>
          <w:cantSplit/>
        </w:trPr>
        <w:tc>
          <w:tcPr>
            <w:tcW w:type="dxa" w:w="2232"/>
            <w:tcMar>
              <w:top w:w="95" w:type="dxa"/>
              <w:start w:w="120" w:type="dxa"/>
              <w:bottom w:w="95" w:type="dxa"/>
              <w:end w:w="120" w:type="dxa"/>
            </w:tcMar>
            <w:vAlign w:val="center"/>
          </w:tcPr>
          <w:p>
            <w:pPr>
              <w:spacing w:after="0" w:line="259" w:lineRule="auto"/>
            </w:pPr>
            <w:r>
              <w:rPr>
                <w:rFonts w:ascii="Calibri" w:hAnsi="Calibri" w:eastAsia="Calibri"/>
                <w:color w:val="3E4139"/>
                <w:sz w:val="17"/>
              </w:rPr>
              <w:t>Registry and on demand</w:t>
            </w:r>
          </w:p>
        </w:tc>
        <w:tc>
          <w:tcPr>
            <w:tcW w:type="dxa" w:w="1512"/>
            <w:tcMar>
              <w:top w:w="95" w:type="dxa"/>
              <w:start w:w="120" w:type="dxa"/>
              <w:bottom w:w="95" w:type="dxa"/>
              <w:end w:w="120" w:type="dxa"/>
            </w:tcMar>
            <w:vAlign w:val="center"/>
          </w:tcPr>
          <w:p>
            <w:pPr>
              <w:spacing w:after="0" w:line="259" w:lineRule="auto"/>
            </w:pPr>
            <w:r>
              <w:rPr>
                <w:rFonts w:ascii="Calibri" w:hAnsi="Calibri" w:eastAsia="Calibri"/>
                <w:color w:val="3E4139"/>
                <w:sz w:val="17"/>
              </w:rPr>
              <w:t>70%</w:t>
            </w:r>
          </w:p>
        </w:tc>
        <w:tc>
          <w:tcPr>
            <w:tcW w:type="dxa" w:w="1296"/>
            <w:tcMar>
              <w:top w:w="95" w:type="dxa"/>
              <w:start w:w="120" w:type="dxa"/>
              <w:bottom w:w="95" w:type="dxa"/>
              <w:end w:w="120" w:type="dxa"/>
            </w:tcMar>
            <w:vAlign w:val="center"/>
          </w:tcPr>
          <w:p>
            <w:pPr>
              <w:spacing w:after="0" w:line="259" w:lineRule="auto"/>
            </w:pPr>
            <w:r>
              <w:rPr>
                <w:rFonts w:ascii="Calibri" w:hAnsi="Calibri" w:eastAsia="Calibri"/>
                <w:color w:val="3E4139"/>
                <w:sz w:val="17"/>
              </w:rPr>
              <w:t>56,000</w:t>
            </w:r>
          </w:p>
        </w:tc>
        <w:tc>
          <w:tcPr>
            <w:tcW w:type="dxa" w:w="4608"/>
            <w:tcMar>
              <w:top w:w="95" w:type="dxa"/>
              <w:start w:w="120" w:type="dxa"/>
              <w:bottom w:w="95" w:type="dxa"/>
              <w:end w:w="120" w:type="dxa"/>
            </w:tcMar>
            <w:vAlign w:val="center"/>
          </w:tcPr>
          <w:p>
            <w:pPr>
              <w:spacing w:after="0" w:line="259" w:lineRule="auto"/>
            </w:pPr>
            <w:r>
              <w:rPr>
                <w:rFonts w:ascii="Calibri" w:hAnsi="Calibri" w:eastAsia="Calibri"/>
                <w:color w:val="3E4139"/>
                <w:sz w:val="17"/>
              </w:rPr>
              <w:t>GIS, health and on-demand viewing or investigation.</w:t>
            </w:r>
          </w:p>
        </w:tc>
      </w:tr>
    </w:tbl>
    <w:p>
      <w:pPr>
        <w:spacing w:after="20"/>
      </w:pPr>
    </w:p>
    <w:p>
      <w:pPr>
        <w:spacing w:before="0" w:after="100" w:line="269" w:lineRule="auto"/>
        <w:jc w:val="left"/>
      </w:pPr>
      <w:r>
        <w:rPr>
          <w:rFonts w:ascii="Calibri" w:hAnsi="Calibri" w:eastAsia="Calibri"/>
          <w:i w:val="0"/>
          <w:color w:val="1A1B17"/>
          <w:sz w:val="21"/>
        </w:rPr>
        <w:t>The shares above are planning assumptions, not measured demand. Camera surveys and department policy assign the final tier. The measured implementation runs three concurrent ANPR workers at 6.9 to 11.9 frames per second per camera on a developer-class machine. Production GPU density must be benchmarked on representative footage before procurement.</w:t>
      </w:r>
    </w:p>
    <w:p>
      <w:pPr>
        <w:pStyle w:val="Heading2"/>
        <w:keepNext/>
        <w:pageBreakBefore w:val="0"/>
      </w:pPr>
      <w:r>
        <w:t>9.3  Network and storage</w:t>
      </w:r>
    </w:p>
    <w:p>
      <w:pPr>
        <w:spacing w:before="0" w:after="100" w:line="269" w:lineRule="auto"/>
        <w:jc w:val="left"/>
      </w:pPr>
      <w:r>
        <w:rPr>
          <w:rFonts w:ascii="Calibri" w:hAnsi="Calibri" w:eastAsia="Calibri"/>
          <w:i w:val="0"/>
          <w:color w:val="1A1B17"/>
          <w:sz w:val="21"/>
        </w:rPr>
        <w:t>At an assumed 2.5 Mbps per stream, centralising 80,000 feeds would require about 200 Gbps before protocol overhead. The metadata-first design avoids that continuous load by moving observations instead of every video stream.</w:t>
      </w:r>
    </w:p>
    <w:p>
      <w:pPr>
        <w:pStyle w:val="Heading2"/>
        <w:keepNext/>
        <w:pageBreakBefore w:val="0"/>
      </w:pPr>
      <w:r>
        <w:t>9.4  Scale, availability and interoperability</w:t>
      </w:r>
    </w:p>
    <w:p>
      <w:pPr>
        <w:pStyle w:val="ListBullet"/>
        <w:spacing w:after="80" w:line="269" w:lineRule="auto"/>
        <w:ind w:left="720" w:hanging="360"/>
        <w:keepLines/>
      </w:pPr>
      <w:r>
        <w:rPr>
          <w:rFonts w:ascii="Calibri" w:hAnsi="Calibri" w:eastAsia="Calibri"/>
          <w:color w:val="1A1B17"/>
          <w:sz w:val="20"/>
        </w:rPr>
        <w:t>Inference is partitioned by site and district. A node failure affects a bounded camera group.</w:t>
      </w:r>
    </w:p>
    <w:p>
      <w:pPr>
        <w:pStyle w:val="ListBullet"/>
        <w:spacing w:after="80" w:line="269" w:lineRule="auto"/>
        <w:ind w:left="720" w:hanging="360"/>
        <w:keepLines/>
      </w:pPr>
      <w:r>
        <w:rPr>
          <w:rFonts w:ascii="Calibri" w:hAnsi="Calibri" w:eastAsia="Calibri"/>
          <w:color w:val="1A1B17"/>
          <w:sz w:val="20"/>
        </w:rPr>
        <w:t>Event ordering is preserved per camera. Observation storage is partitioned by time and department.</w:t>
      </w:r>
    </w:p>
    <w:p>
      <w:pPr>
        <w:pStyle w:val="ListBullet"/>
        <w:spacing w:after="80" w:line="269" w:lineRule="auto"/>
        <w:ind w:left="720" w:hanging="360"/>
        <w:keepLines/>
      </w:pPr>
      <w:r>
        <w:rPr>
          <w:rFonts w:ascii="Calibri" w:hAnsi="Calibri" w:eastAsia="Calibri"/>
          <w:color w:val="1A1B17"/>
          <w:sz w:val="20"/>
        </w:rPr>
        <w:t>API services remain stateless and can be load balanced. Regional media relays keep video local to the viewer's region.</w:t>
      </w:r>
    </w:p>
    <w:p>
      <w:pPr>
        <w:pStyle w:val="ListBullet"/>
        <w:spacing w:after="80" w:line="269" w:lineRule="auto"/>
        <w:ind w:left="720" w:hanging="360"/>
        <w:keepLines/>
      </w:pPr>
      <w:r>
        <w:rPr>
          <w:rFonts w:ascii="Calibri" w:hAnsi="Calibri" w:eastAsia="Calibri"/>
          <w:color w:val="1A1B17"/>
          <w:sz w:val="20"/>
        </w:rPr>
        <w:t>Replicated regional event services and a high-availability central database provide recovery paths. Restore and failover tests are required before production acceptance.</w:t>
      </w:r>
    </w:p>
    <w:p>
      <w:pPr>
        <w:pStyle w:val="ListBullet"/>
        <w:spacing w:after="80" w:line="269" w:lineRule="auto"/>
        <w:ind w:left="720" w:hanging="360"/>
        <w:keepLines/>
      </w:pPr>
      <w:r>
        <w:rPr>
          <w:rFonts w:ascii="Calibri" w:hAnsi="Calibri" w:eastAsia="Calibri"/>
          <w:color w:val="1A1B17"/>
          <w:sz w:val="20"/>
        </w:rPr>
        <w:t>Connectors use documented contracts and open transports such as RTSP, ONVIF and HLS. Vendor SDK or API adapters stay outside the core registry and analytics logic.</w:t>
      </w:r>
    </w:p>
    <w:p>
      <w:pPr>
        <w:pStyle w:val="ListBullet"/>
        <w:spacing w:after="80" w:line="269" w:lineRule="auto"/>
        <w:ind w:left="720" w:hanging="360"/>
        <w:keepLines/>
      </w:pPr>
      <w:r>
        <w:rPr>
          <w:rFonts w:ascii="Calibri" w:hAnsi="Calibri" w:eastAsia="Calibri"/>
          <w:color w:val="1A1B17"/>
          <w:sz w:val="20"/>
        </w:rPr>
        <w:t>Backpressure uses bounded frame queues, worker limits and event-lag controls. Degraded cameras remain visible in health and operations views.</w:t>
      </w:r>
    </w:p>
    <w:p>
      <w:pPr>
        <w:pStyle w:val="Heading1"/>
        <w:keepNext/>
        <w:pageBreakBefore/>
      </w:pPr>
      <w:r>
        <w:t>10  Logical data model</w:t>
      </w:r>
    </w:p>
    <w:p>
      <w:pPr>
        <w:spacing w:before="0" w:after="100" w:line="269" w:lineRule="auto"/>
        <w:jc w:val="left"/>
      </w:pPr>
      <w:r>
        <w:rPr>
          <w:rFonts w:ascii="Calibri" w:hAnsi="Calibri" w:eastAsia="Calibri"/>
          <w:i w:val="0"/>
          <w:color w:val="1A1B17"/>
          <w:sz w:val="21"/>
        </w:rPr>
        <w:t>This is the HLD view of the database. It shows the main business entities and relationships, not every column, index or migration. PostgreSQL is the system of record, while PostGIS adds location and spatial queries to camera and journey data.</w:t>
      </w:r>
    </w:p>
    <w:p>
      <w:pPr>
        <w:keepNext/>
        <w:spacing w:before="40" w:after="40"/>
        <w:jc w:val="center"/>
      </w:pPr>
      <w:r>
        <w:drawing>
          <wp:inline xmlns:a="http://schemas.openxmlformats.org/drawingml/2006/main" xmlns:pic="http://schemas.openxmlformats.org/drawingml/2006/picture">
            <wp:extent cx="5989320" cy="3803218"/>
            <wp:docPr id="7" name="Picture 7"/>
            <wp:cNvGraphicFramePr>
              <a:graphicFrameLocks noChangeAspect="1"/>
            </wp:cNvGraphicFramePr>
            <a:graphic>
              <a:graphicData uri="http://schemas.openxmlformats.org/drawingml/2006/picture">
                <pic:pic>
                  <pic:nvPicPr>
                    <pic:cNvPr id="0" name="07_logical_data_model.png"/>
                    <pic:cNvPicPr/>
                  </pic:nvPicPr>
                  <pic:blipFill>
                    <a:blip r:embed="rId17"/>
                    <a:stretch>
                      <a:fillRect/>
                    </a:stretch>
                  </pic:blipFill>
                  <pic:spPr>
                    <a:xfrm>
                      <a:off x="0" y="0"/>
                      <a:ext cx="5989320" cy="3803218"/>
                    </a:xfrm>
                    <a:prstGeom prst="rect"/>
                  </pic:spPr>
                </pic:pic>
              </a:graphicData>
            </a:graphic>
          </wp:inline>
        </w:drawing>
      </w:r>
    </w:p>
    <w:p>
      <w:pPr>
        <w:spacing w:before="60" w:after="160"/>
        <w:jc w:val="center"/>
        <w:keepNext/>
      </w:pPr>
      <w:r>
        <w:rPr>
          <w:rFonts w:ascii="Calibri" w:hAnsi="Calibri" w:eastAsia="Calibri"/>
          <w:i/>
          <w:color w:val="6E7167"/>
          <w:sz w:val="17"/>
        </w:rPr>
        <w:t>Figure 11. Logical database model. Relationship labels show the main one-to-many directions.</w:t>
      </w:r>
    </w:p>
    <w:p>
      <w:pPr>
        <w:pStyle w:val="ListBullet"/>
        <w:spacing w:after="80" w:line="269" w:lineRule="auto"/>
        <w:ind w:left="720" w:hanging="360"/>
        <w:keepLines/>
      </w:pPr>
      <w:r>
        <w:rPr>
          <w:rFonts w:ascii="Calibri" w:hAnsi="Calibri" w:eastAsia="Calibri"/>
          <w:color w:val="1A1B17"/>
          <w:sz w:val="20"/>
        </w:rPr>
        <w:t>A department owns cameras and scopes users, recordings, alerts and operational access.</w:t>
      </w:r>
    </w:p>
    <w:p>
      <w:pPr>
        <w:pStyle w:val="ListBullet"/>
        <w:spacing w:after="80" w:line="269" w:lineRule="auto"/>
        <w:ind w:left="720" w:hanging="360"/>
        <w:keepLines/>
      </w:pPr>
      <w:r>
        <w:rPr>
          <w:rFonts w:ascii="Calibri" w:hAnsi="Calibri" w:eastAsia="Calibri"/>
          <w:color w:val="1A1B17"/>
          <w:sz w:val="20"/>
        </w:rPr>
        <w:t>A sighting is an immutable source observation. An alert refers to a sighting and may also refer to a watchlist entry.</w:t>
      </w:r>
    </w:p>
    <w:p>
      <w:pPr>
        <w:pStyle w:val="ListBullet"/>
        <w:spacing w:after="80" w:line="269" w:lineRule="auto"/>
        <w:ind w:left="720" w:hanging="360"/>
        <w:keepLines/>
      </w:pPr>
      <w:r>
        <w:rPr>
          <w:rFonts w:ascii="Calibri" w:hAnsi="Calibri" w:eastAsia="Calibri"/>
          <w:color w:val="1A1B17"/>
          <w:sz w:val="20"/>
        </w:rPr>
        <w:t>A journey is a time-ordered query over sightings rather than a second copy of the same event data.</w:t>
      </w:r>
    </w:p>
    <w:p>
      <w:pPr>
        <w:pStyle w:val="ListBullet"/>
        <w:spacing w:after="80" w:line="269" w:lineRule="auto"/>
        <w:ind w:left="720" w:hanging="360"/>
        <w:keepLines/>
      </w:pPr>
      <w:r>
        <w:rPr>
          <w:rFonts w:ascii="Calibri" w:hAnsi="Calibri" w:eastAsia="Calibri"/>
          <w:color w:val="1A1B17"/>
          <w:sz w:val="20"/>
        </w:rPr>
        <w:t>A recording can have several ingest runs. Each run produces tracks, and a track links to a subject only after an exact plate match or an operator confirmation.</w:t>
      </w:r>
    </w:p>
    <w:p>
      <w:pPr>
        <w:pStyle w:val="ListBullet"/>
        <w:spacing w:after="80" w:line="269" w:lineRule="auto"/>
        <w:ind w:left="720" w:hanging="360"/>
        <w:keepLines/>
      </w:pPr>
      <w:r>
        <w:rPr>
          <w:rFonts w:ascii="Calibri" w:hAnsi="Calibri" w:eastAsia="Calibri"/>
          <w:color w:val="1A1B17"/>
          <w:sz w:val="20"/>
        </w:rPr>
        <w:t>Audit events keep the actor, action, target, department, result and time even when the target is not represented by a strict foreign key.</w:t>
      </w:r>
    </w:p>
    <w:p>
      <w:pPr>
        <w:pStyle w:val="Heading1"/>
        <w:keepNext/>
        <w:pageBreakBefore/>
      </w:pPr>
      <w:r>
        <w:t>11  Security, privacy and audit</w:t>
      </w:r>
    </w:p>
    <w:p>
      <w:pPr>
        <w:keepNext/>
        <w:spacing w:before="40" w:after="40"/>
        <w:jc w:val="center"/>
      </w:pPr>
      <w:r>
        <w:drawing>
          <wp:inline xmlns:a="http://schemas.openxmlformats.org/drawingml/2006/main" xmlns:pic="http://schemas.openxmlformats.org/drawingml/2006/picture">
            <wp:extent cx="5989320" cy="3144393"/>
            <wp:docPr id="8" name="Picture 8"/>
            <wp:cNvGraphicFramePr>
              <a:graphicFrameLocks noChangeAspect="1"/>
            </wp:cNvGraphicFramePr>
            <a:graphic>
              <a:graphicData uri="http://schemas.openxmlformats.org/drawingml/2006/picture">
                <pic:pic>
                  <pic:nvPicPr>
                    <pic:cNvPr id="0" name="08_security_boundaries.png"/>
                    <pic:cNvPicPr/>
                  </pic:nvPicPr>
                  <pic:blipFill>
                    <a:blip r:embed="rId18"/>
                    <a:stretch>
                      <a:fillRect/>
                    </a:stretch>
                  </pic:blipFill>
                  <pic:spPr>
                    <a:xfrm>
                      <a:off x="0" y="0"/>
                      <a:ext cx="5989320" cy="3144393"/>
                    </a:xfrm>
                    <a:prstGeom prst="rect"/>
                  </pic:spPr>
                </pic:pic>
              </a:graphicData>
            </a:graphic>
          </wp:inline>
        </w:drawing>
      </w:r>
    </w:p>
    <w:p>
      <w:pPr>
        <w:spacing w:before="60" w:after="160"/>
        <w:jc w:val="center"/>
        <w:keepNext/>
      </w:pPr>
      <w:r>
        <w:rPr>
          <w:rFonts w:ascii="Calibri" w:hAnsi="Calibri" w:eastAsia="Calibri"/>
          <w:i/>
          <w:color w:val="6E7167"/>
          <w:sz w:val="17"/>
        </w:rPr>
        <w:t>Figure 12. Security trust boundaries, service identities and server-side enforcement points.</w:t>
      </w:r>
    </w:p>
    <w:p>
      <w:pPr>
        <w:pStyle w:val="ListBullet"/>
        <w:spacing w:after="80" w:line="269" w:lineRule="auto"/>
        <w:ind w:left="720" w:hanging="360"/>
        <w:keepLines/>
      </w:pPr>
      <w:r>
        <w:rPr>
          <w:rFonts w:ascii="Calibri" w:hAnsi="Calibri" w:eastAsia="Calibri"/>
          <w:color w:val="1A1B17"/>
          <w:sz w:val="20"/>
        </w:rPr>
        <w:t>Only the session digest is stored. Passwords use scrypt with a separate salt.</w:t>
      </w:r>
    </w:p>
    <w:p>
      <w:pPr>
        <w:pStyle w:val="ListBullet"/>
        <w:spacing w:after="80" w:line="269" w:lineRule="auto"/>
        <w:ind w:left="720" w:hanging="360"/>
        <w:keepLines/>
      </w:pPr>
      <w:r>
        <w:rPr>
          <w:rFonts w:ascii="Calibri" w:hAnsi="Calibri" w:eastAsia="Calibri"/>
          <w:color w:val="1A1B17"/>
          <w:sz w:val="20"/>
        </w:rPr>
        <w:t>Audit records cover login, denial, grants, camera changes, watchlists, alerts, exports and investigations.</w:t>
      </w:r>
    </w:p>
    <w:p>
      <w:pPr>
        <w:pStyle w:val="ListBullet"/>
        <w:spacing w:after="80" w:line="269" w:lineRule="auto"/>
        <w:ind w:left="720" w:hanging="360"/>
        <w:keepLines/>
      </w:pPr>
      <w:r>
        <w:rPr>
          <w:rFonts w:ascii="Calibri" w:hAnsi="Calibri" w:eastAsia="Calibri"/>
          <w:color w:val="1A1B17"/>
          <w:sz w:val="20"/>
        </w:rPr>
        <w:t>Evidence crops expire after the configured period, which defaults to 72 hours. The source sighting remains.</w:t>
      </w:r>
    </w:p>
    <w:p>
      <w:pPr>
        <w:pStyle w:val="ListBullet"/>
        <w:spacing w:after="80" w:line="269" w:lineRule="auto"/>
        <w:ind w:left="720" w:hanging="360"/>
        <w:keepLines/>
      </w:pPr>
      <w:r>
        <w:rPr>
          <w:rFonts w:ascii="Calibri" w:hAnsi="Calibri" w:eastAsia="Calibri"/>
          <w:color w:val="1A1B17"/>
          <w:sz w:val="20"/>
        </w:rPr>
        <w:t>Audit exports include a SHA-256 digest. Development fixtures use synthetic values and no real endpoints or footage.</w:t>
      </w:r>
    </w:p>
    <w:p>
      <w:pPr>
        <w:spacing w:before="0" w:after="100" w:line="269" w:lineRule="auto"/>
        <w:jc w:val="left"/>
      </w:pPr>
      <w:r>
        <w:rPr>
          <w:rFonts w:ascii="Calibri" w:hAnsi="Calibri" w:eastAsia="Calibri"/>
          <w:i w:val="0"/>
          <w:color w:val="1A1B17"/>
          <w:sz w:val="21"/>
        </w:rPr>
        <w:t>Successful high-frequency media and telemetry reads are not written as one audit row per request because that would create uncontrolled audit volume. Access denials are still recorded. Development fixtures use synthetic cameras and watchlist values and do not contain real endpoints, credentials or footage.</w:t>
      </w:r>
    </w:p>
    <w:p>
      <w:pPr>
        <w:pStyle w:val="Heading1"/>
        <w:keepNext/>
        <w:pageBreakBefore/>
      </w:pPr>
      <w:r>
        <w:t>12  Department prerequisites and assumptions</w:t>
      </w:r>
    </w:p>
    <w:p>
      <w:pPr>
        <w:spacing w:before="0" w:after="100" w:line="269" w:lineRule="auto"/>
        <w:jc w:val="left"/>
      </w:pPr>
      <w:r>
        <w:rPr>
          <w:rFonts w:ascii="Calibri" w:hAnsi="Calibri" w:eastAsia="Calibri"/>
          <w:i w:val="0"/>
          <w:color w:val="1A1B17"/>
          <w:sz w:val="21"/>
        </w:rPr>
        <w:t>A department can begin with metadata only. Live viewing and analytics are enabled only after the required access, network and governance checks pass. The intake below determines the integration level for each camera.</w:t>
      </w:r>
    </w:p>
    <w:p>
      <w:pPr>
        <w:pStyle w:val="Heading2"/>
        <w:keepNext/>
        <w:pageBreakBefore w:val="0"/>
      </w:pPr>
      <w:r>
        <w:t>12.1  Working assumptions</w:t>
      </w:r>
    </w:p>
    <w:tbl>
      <w:tblPr>
        <w:tblStyle w:val="TableGrid"/>
        <w:tblW w:type="dxa" w:w="9648"/>
        <w:jc w:val="center"/>
        <w:tblLayout w:type="fixed"/>
        <w:tblLook w:firstColumn="1" w:firstRow="1" w:lastColumn="0" w:lastRow="0" w:noHBand="0" w:noVBand="1" w:val="04A0"/>
        <w:tblInd w:w="0" w:type="dxa"/>
        <w:tblBorders>
          <w:top w:val="single" w:sz="6" w:space="0" w:color="D9D4C6"/>
          <w:left w:val="single" w:sz="6" w:space="0" w:color="D9D4C6"/>
          <w:bottom w:val="single" w:sz="6" w:space="0" w:color="D9D4C6"/>
          <w:right w:val="single" w:sz="6" w:space="0" w:color="D9D4C6"/>
          <w:insideH w:val="single" w:sz="6" w:space="0" w:color="D9D4C6"/>
          <w:insideV w:val="single" w:sz="6" w:space="0" w:color="D9D4C6"/>
        </w:tblBorders>
      </w:tblPr>
      <w:tblGrid>
        <w:gridCol w:w="5400"/>
        <w:gridCol w:w="4248"/>
      </w:tblGrid>
      <w:tr>
        <w:trPr>
          <w:tblHeader w:val="true"/>
        </w:trPr>
        <w:tc>
          <w:tcPr>
            <w:tcW w:type="dxa" w:w="5400"/>
            <w:shd w:fill="E3EDE8"/>
            <w:tcMar>
              <w:top w:w="105" w:type="dxa"/>
              <w:start w:w="120" w:type="dxa"/>
              <w:bottom w:w="105" w:type="dxa"/>
              <w:end w:w="120" w:type="dxa"/>
            </w:tcMar>
            <w:vAlign w:val="center"/>
          </w:tcPr>
          <w:p>
            <w:pPr>
              <w:spacing w:after="0"/>
            </w:pPr>
            <w:r>
              <w:rPr>
                <w:rFonts w:ascii="Calibri" w:hAnsi="Calibri" w:eastAsia="Calibri"/>
                <w:b/>
                <w:color w:val="0B544A"/>
                <w:sz w:val="17"/>
              </w:rPr>
              <w:t>Assumption</w:t>
            </w:r>
          </w:p>
        </w:tc>
        <w:tc>
          <w:tcPr>
            <w:tcW w:type="dxa" w:w="4248"/>
            <w:shd w:fill="E3EDE8"/>
            <w:tcMar>
              <w:top w:w="105" w:type="dxa"/>
              <w:start w:w="120" w:type="dxa"/>
              <w:bottom w:w="105" w:type="dxa"/>
              <w:end w:w="120" w:type="dxa"/>
            </w:tcMar>
            <w:vAlign w:val="center"/>
          </w:tcPr>
          <w:p>
            <w:pPr>
              <w:spacing w:after="0"/>
            </w:pPr>
            <w:r>
              <w:rPr>
                <w:rFonts w:ascii="Calibri" w:hAnsi="Calibri" w:eastAsia="Calibri"/>
                <w:b/>
                <w:color w:val="0B544A"/>
                <w:sz w:val="17"/>
              </w:rPr>
              <w:t>If it is not met</w:t>
            </w:r>
          </w:p>
        </w:tc>
      </w:tr>
      <w:tr>
        <w:trPr>
          <w:cantSplit/>
        </w:trPr>
        <w:tc>
          <w:tcPr>
            <w:tcW w:type="dxa" w:w="5400"/>
            <w:tcMar>
              <w:top w:w="95" w:type="dxa"/>
              <w:start w:w="120" w:type="dxa"/>
              <w:bottom w:w="95" w:type="dxa"/>
              <w:end w:w="120" w:type="dxa"/>
            </w:tcMar>
            <w:vAlign w:val="center"/>
          </w:tcPr>
          <w:p>
            <w:pPr>
              <w:spacing w:after="0" w:line="259" w:lineRule="auto"/>
            </w:pPr>
            <w:r>
              <w:rPr>
                <w:rFonts w:ascii="Calibri" w:hAnsi="Calibri" w:eastAsia="Calibri"/>
                <w:color w:val="3E4139"/>
                <w:sz w:val="17"/>
              </w:rPr>
              <w:t>The department authorises read-only access for named cameras and a documented purpose.</w:t>
            </w:r>
          </w:p>
        </w:tc>
        <w:tc>
          <w:tcPr>
            <w:tcW w:type="dxa" w:w="4248"/>
            <w:tcMar>
              <w:top w:w="95" w:type="dxa"/>
              <w:start w:w="120" w:type="dxa"/>
              <w:bottom w:w="95" w:type="dxa"/>
              <w:end w:w="120" w:type="dxa"/>
            </w:tcMar>
            <w:vAlign w:val="center"/>
          </w:tcPr>
          <w:p>
            <w:pPr>
              <w:spacing w:after="0" w:line="259" w:lineRule="auto"/>
            </w:pPr>
            <w:r>
              <w:rPr>
                <w:rFonts w:ascii="Calibri" w:hAnsi="Calibri" w:eastAsia="Calibri"/>
                <w:color w:val="3E4139"/>
                <w:sz w:val="17"/>
              </w:rPr>
              <w:t>The cameras remain registry-only.</w:t>
            </w:r>
          </w:p>
        </w:tc>
      </w:tr>
      <w:tr>
        <w:trPr>
          <w:cantSplit/>
        </w:trPr>
        <w:tc>
          <w:tcPr>
            <w:tcW w:type="dxa" w:w="5400"/>
            <w:tcMar>
              <w:top w:w="95" w:type="dxa"/>
              <w:start w:w="120" w:type="dxa"/>
              <w:bottom w:w="95" w:type="dxa"/>
              <w:end w:w="120" w:type="dxa"/>
            </w:tcMar>
            <w:vAlign w:val="center"/>
            <w:shd w:fill="FAF8F2"/>
          </w:tcPr>
          <w:p>
            <w:pPr>
              <w:spacing w:after="0" w:line="259" w:lineRule="auto"/>
            </w:pPr>
            <w:r>
              <w:rPr>
                <w:rFonts w:ascii="Calibri" w:hAnsi="Calibri" w:eastAsia="Calibri"/>
                <w:color w:val="3E4139"/>
                <w:sz w:val="17"/>
              </w:rPr>
              <w:t>A technical nodal officer and an authorising officer are nominated.</w:t>
            </w:r>
          </w:p>
        </w:tc>
        <w:tc>
          <w:tcPr>
            <w:tcW w:type="dxa" w:w="4248"/>
            <w:tcMar>
              <w:top w:w="95" w:type="dxa"/>
              <w:start w:w="120" w:type="dxa"/>
              <w:bottom w:w="95" w:type="dxa"/>
              <w:end w:w="120" w:type="dxa"/>
            </w:tcMar>
            <w:vAlign w:val="center"/>
            <w:shd w:fill="FAF8F2"/>
          </w:tcPr>
          <w:p>
            <w:pPr>
              <w:spacing w:after="0" w:line="259" w:lineRule="auto"/>
            </w:pPr>
            <w:r>
              <w:rPr>
                <w:rFonts w:ascii="Calibri" w:hAnsi="Calibri" w:eastAsia="Calibri"/>
                <w:color w:val="3E4139"/>
                <w:sz w:val="17"/>
              </w:rPr>
              <w:t>Onboarding pauses because ownership and approval cannot be established.</w:t>
            </w:r>
          </w:p>
        </w:tc>
      </w:tr>
      <w:tr>
        <w:trPr>
          <w:cantSplit/>
        </w:trPr>
        <w:tc>
          <w:tcPr>
            <w:tcW w:type="dxa" w:w="5400"/>
            <w:tcMar>
              <w:top w:w="95" w:type="dxa"/>
              <w:start w:w="120" w:type="dxa"/>
              <w:bottom w:w="95" w:type="dxa"/>
              <w:end w:w="120" w:type="dxa"/>
            </w:tcMar>
            <w:vAlign w:val="center"/>
          </w:tcPr>
          <w:p>
            <w:pPr>
              <w:spacing w:after="0" w:line="259" w:lineRule="auto"/>
            </w:pPr>
            <w:r>
              <w:rPr>
                <w:rFonts w:ascii="Calibri" w:hAnsi="Calibri" w:eastAsia="Calibri"/>
                <w:color w:val="3E4139"/>
                <w:sz w:val="17"/>
              </w:rPr>
              <w:t>RTSP, ONVIF, a vendor SDK or a gateway API is available.</w:t>
            </w:r>
          </w:p>
        </w:tc>
        <w:tc>
          <w:tcPr>
            <w:tcW w:type="dxa" w:w="4248"/>
            <w:tcMar>
              <w:top w:w="95" w:type="dxa"/>
              <w:start w:w="120" w:type="dxa"/>
              <w:bottom w:w="95" w:type="dxa"/>
              <w:end w:w="120" w:type="dxa"/>
            </w:tcMar>
            <w:vAlign w:val="center"/>
          </w:tcPr>
          <w:p>
            <w:pPr>
              <w:spacing w:after="0" w:line="259" w:lineRule="auto"/>
            </w:pPr>
            <w:r>
              <w:rPr>
                <w:rFonts w:ascii="Calibri" w:hAnsi="Calibri" w:eastAsia="Calibri"/>
                <w:color w:val="3E4139"/>
                <w:sz w:val="17"/>
              </w:rPr>
              <w:t>The camera remains metadata-only until a supported path exists.</w:t>
            </w:r>
          </w:p>
        </w:tc>
      </w:tr>
      <w:tr>
        <w:trPr>
          <w:cantSplit/>
        </w:trPr>
        <w:tc>
          <w:tcPr>
            <w:tcW w:type="dxa" w:w="5400"/>
            <w:tcMar>
              <w:top w:w="95" w:type="dxa"/>
              <w:start w:w="120" w:type="dxa"/>
              <w:bottom w:w="95" w:type="dxa"/>
              <w:end w:w="120" w:type="dxa"/>
            </w:tcMar>
            <w:vAlign w:val="center"/>
            <w:shd w:fill="FAF8F2"/>
          </w:tcPr>
          <w:p>
            <w:pPr>
              <w:spacing w:after="0" w:line="259" w:lineRule="auto"/>
            </w:pPr>
            <w:r>
              <w:rPr>
                <w:rFonts w:ascii="Calibri" w:hAnsi="Calibri" w:eastAsia="Calibri"/>
                <w:color w:val="3E4139"/>
                <w:sz w:val="17"/>
              </w:rPr>
              <w:t>Edge compute, power and network access can be provided at a site or district location.</w:t>
            </w:r>
          </w:p>
        </w:tc>
        <w:tc>
          <w:tcPr>
            <w:tcW w:type="dxa" w:w="4248"/>
            <w:tcMar>
              <w:top w:w="95" w:type="dxa"/>
              <w:start w:w="120" w:type="dxa"/>
              <w:bottom w:w="95" w:type="dxa"/>
              <w:end w:w="120" w:type="dxa"/>
            </w:tcMar>
            <w:vAlign w:val="center"/>
            <w:shd w:fill="FAF8F2"/>
          </w:tcPr>
          <w:p>
            <w:pPr>
              <w:spacing w:after="0" w:line="259" w:lineRule="auto"/>
            </w:pPr>
            <w:r>
              <w:rPr>
                <w:rFonts w:ascii="Calibri" w:hAnsi="Calibri" w:eastAsia="Calibri"/>
                <w:color w:val="3E4139"/>
                <w:sz w:val="17"/>
              </w:rPr>
              <w:t>Inference runs centrally for that site, subject to WAN capacity.</w:t>
            </w:r>
          </w:p>
        </w:tc>
      </w:tr>
      <w:tr>
        <w:trPr>
          <w:cantSplit/>
        </w:trPr>
        <w:tc>
          <w:tcPr>
            <w:tcW w:type="dxa" w:w="5400"/>
            <w:tcMar>
              <w:top w:w="95" w:type="dxa"/>
              <w:start w:w="120" w:type="dxa"/>
              <w:bottom w:w="95" w:type="dxa"/>
              <w:end w:w="120" w:type="dxa"/>
            </w:tcMar>
            <w:vAlign w:val="center"/>
          </w:tcPr>
          <w:p>
            <w:pPr>
              <w:spacing w:after="0" w:line="259" w:lineRule="auto"/>
            </w:pPr>
            <w:r>
              <w:rPr>
                <w:rFonts w:ascii="Calibri" w:hAnsi="Calibri" w:eastAsia="Calibri"/>
                <w:color w:val="3E4139"/>
                <w:sz w:val="17"/>
              </w:rPr>
              <w:t>Camera time is NTP disciplined or an in-stream absolute time reference exists.</w:t>
            </w:r>
          </w:p>
        </w:tc>
        <w:tc>
          <w:tcPr>
            <w:tcW w:type="dxa" w:w="4248"/>
            <w:tcMar>
              <w:top w:w="95" w:type="dxa"/>
              <w:start w:w="120" w:type="dxa"/>
              <w:bottom w:w="95" w:type="dxa"/>
              <w:end w:w="120" w:type="dxa"/>
            </w:tcMar>
            <w:vAlign w:val="center"/>
          </w:tcPr>
          <w:p>
            <w:pPr>
              <w:spacing w:after="0" w:line="259" w:lineRule="auto"/>
            </w:pPr>
            <w:r>
              <w:rPr>
                <w:rFonts w:ascii="Calibri" w:hAnsi="Calibri" w:eastAsia="Calibri"/>
                <w:color w:val="3E4139"/>
                <w:sz w:val="17"/>
              </w:rPr>
              <w:t>Cross-camera timing uses a wider uncertainty range.</w:t>
            </w:r>
          </w:p>
        </w:tc>
      </w:tr>
      <w:tr>
        <w:trPr>
          <w:cantSplit/>
        </w:trPr>
        <w:tc>
          <w:tcPr>
            <w:tcW w:type="dxa" w:w="5400"/>
            <w:tcMar>
              <w:top w:w="95" w:type="dxa"/>
              <w:start w:w="120" w:type="dxa"/>
              <w:bottom w:w="95" w:type="dxa"/>
              <w:end w:w="120" w:type="dxa"/>
            </w:tcMar>
            <w:vAlign w:val="center"/>
            <w:shd w:fill="FAF8F2"/>
          </w:tcPr>
          <w:p>
            <w:pPr>
              <w:spacing w:after="0" w:line="259" w:lineRule="auto"/>
            </w:pPr>
            <w:r>
              <w:rPr>
                <w:rFonts w:ascii="Calibri" w:hAnsi="Calibri" w:eastAsia="Calibri"/>
                <w:color w:val="3E4139"/>
                <w:sz w:val="17"/>
              </w:rPr>
              <w:t>Legal purpose and retention rules exist for each analytic and data type.</w:t>
            </w:r>
          </w:p>
        </w:tc>
        <w:tc>
          <w:tcPr>
            <w:tcW w:type="dxa" w:w="4248"/>
            <w:tcMar>
              <w:top w:w="95" w:type="dxa"/>
              <w:start w:w="120" w:type="dxa"/>
              <w:bottom w:w="95" w:type="dxa"/>
              <w:end w:w="120" w:type="dxa"/>
            </w:tcMar>
            <w:vAlign w:val="center"/>
            <w:shd w:fill="FAF8F2"/>
          </w:tcPr>
          <w:p>
            <w:pPr>
              <w:spacing w:after="0" w:line="259" w:lineRule="auto"/>
            </w:pPr>
            <w:r>
              <w:rPr>
                <w:rFonts w:ascii="Calibri" w:hAnsi="Calibri" w:eastAsia="Calibri"/>
                <w:color w:val="3E4139"/>
                <w:sz w:val="17"/>
              </w:rPr>
              <w:t>The analytic remains disabled or retention is reduced.</w:t>
            </w:r>
          </w:p>
        </w:tc>
      </w:tr>
      <w:tr>
        <w:trPr>
          <w:cantSplit/>
        </w:trPr>
        <w:tc>
          <w:tcPr>
            <w:tcW w:type="dxa" w:w="5400"/>
            <w:tcMar>
              <w:top w:w="95" w:type="dxa"/>
              <w:start w:w="120" w:type="dxa"/>
              <w:bottom w:w="95" w:type="dxa"/>
              <w:end w:w="120" w:type="dxa"/>
            </w:tcMar>
            <w:vAlign w:val="center"/>
          </w:tcPr>
          <w:p>
            <w:pPr>
              <w:spacing w:after="0" w:line="259" w:lineRule="auto"/>
            </w:pPr>
            <w:r>
              <w:rPr>
                <w:rFonts w:ascii="Calibri" w:hAnsi="Calibri" w:eastAsia="Calibri"/>
                <w:color w:val="3E4139"/>
                <w:sz w:val="17"/>
              </w:rPr>
              <w:t>A production identity provider and secret manager are available.</w:t>
            </w:r>
          </w:p>
        </w:tc>
        <w:tc>
          <w:tcPr>
            <w:tcW w:type="dxa" w:w="4248"/>
            <w:tcMar>
              <w:top w:w="95" w:type="dxa"/>
              <w:start w:w="120" w:type="dxa"/>
              <w:bottom w:w="95" w:type="dxa"/>
              <w:end w:w="120" w:type="dxa"/>
            </w:tcMar>
            <w:vAlign w:val="center"/>
          </w:tcPr>
          <w:p>
            <w:pPr>
              <w:spacing w:after="0" w:line="259" w:lineRule="auto"/>
            </w:pPr>
            <w:r>
              <w:rPr>
                <w:rFonts w:ascii="Calibri" w:hAnsi="Calibri" w:eastAsia="Calibri"/>
                <w:color w:val="3E4139"/>
                <w:sz w:val="17"/>
              </w:rPr>
              <w:t>Production access is not enabled.</w:t>
            </w:r>
          </w:p>
        </w:tc>
      </w:tr>
    </w:tbl>
    <w:p>
      <w:pPr>
        <w:spacing w:after="20"/>
      </w:pPr>
    </w:p>
    <w:p>
      <w:pPr>
        <w:pStyle w:val="Heading2"/>
        <w:keepNext/>
        <w:pageBreakBefore w:val="0"/>
      </w:pPr>
      <w:r>
        <w:t>12.2  Information required from participating departments</w:t>
      </w:r>
    </w:p>
    <w:tbl>
      <w:tblPr>
        <w:tblStyle w:val="TableGrid"/>
        <w:tblW w:type="dxa" w:w="9648"/>
        <w:jc w:val="center"/>
        <w:tblLayout w:type="fixed"/>
        <w:tblLook w:firstColumn="1" w:firstRow="1" w:lastColumn="0" w:lastRow="0" w:noHBand="0" w:noVBand="1" w:val="04A0"/>
        <w:tblInd w:w="0" w:type="dxa"/>
        <w:tblBorders>
          <w:top w:val="single" w:sz="6" w:space="0" w:color="D9D4C6"/>
          <w:left w:val="single" w:sz="6" w:space="0" w:color="D9D4C6"/>
          <w:bottom w:val="single" w:sz="6" w:space="0" w:color="D9D4C6"/>
          <w:right w:val="single" w:sz="6" w:space="0" w:color="D9D4C6"/>
          <w:insideH w:val="single" w:sz="6" w:space="0" w:color="D9D4C6"/>
          <w:insideV w:val="single" w:sz="6" w:space="0" w:color="D9D4C6"/>
        </w:tblBorders>
      </w:tblPr>
      <w:tblGrid>
        <w:gridCol w:w="2232"/>
        <w:gridCol w:w="7416"/>
      </w:tblGrid>
      <w:tr>
        <w:trPr>
          <w:tblHeader w:val="true"/>
        </w:trPr>
        <w:tc>
          <w:tcPr>
            <w:tcW w:type="dxa" w:w="2232"/>
            <w:shd w:fill="E3EDE8"/>
            <w:tcMar>
              <w:top w:w="105" w:type="dxa"/>
              <w:start w:w="120" w:type="dxa"/>
              <w:bottom w:w="105" w:type="dxa"/>
              <w:end w:w="120" w:type="dxa"/>
            </w:tcMar>
            <w:vAlign w:val="center"/>
          </w:tcPr>
          <w:p>
            <w:pPr>
              <w:spacing w:after="0"/>
            </w:pPr>
            <w:r>
              <w:rPr>
                <w:rFonts w:ascii="Calibri" w:hAnsi="Calibri" w:eastAsia="Calibri"/>
                <w:b/>
                <w:color w:val="0B544A"/>
                <w:sz w:val="17"/>
              </w:rPr>
              <w:t>Intake group</w:t>
            </w:r>
          </w:p>
        </w:tc>
        <w:tc>
          <w:tcPr>
            <w:tcW w:type="dxa" w:w="7416"/>
            <w:shd w:fill="E3EDE8"/>
            <w:tcMar>
              <w:top w:w="105" w:type="dxa"/>
              <w:start w:w="120" w:type="dxa"/>
              <w:bottom w:w="105" w:type="dxa"/>
              <w:end w:w="120" w:type="dxa"/>
            </w:tcMar>
            <w:vAlign w:val="center"/>
          </w:tcPr>
          <w:p>
            <w:pPr>
              <w:spacing w:after="0"/>
            </w:pPr>
            <w:r>
              <w:rPr>
                <w:rFonts w:ascii="Calibri" w:hAnsi="Calibri" w:eastAsia="Calibri"/>
                <w:b/>
                <w:color w:val="0B544A"/>
                <w:sz w:val="17"/>
              </w:rPr>
              <w:t>Required information</w:t>
            </w:r>
          </w:p>
        </w:tc>
      </w:tr>
      <w:tr>
        <w:trPr>
          <w:cantSplit/>
        </w:trPr>
        <w:tc>
          <w:tcPr>
            <w:tcW w:type="dxa" w:w="2232"/>
            <w:tcMar>
              <w:top w:w="95" w:type="dxa"/>
              <w:start w:w="120" w:type="dxa"/>
              <w:bottom w:w="95" w:type="dxa"/>
              <w:end w:w="120" w:type="dxa"/>
            </w:tcMar>
            <w:vAlign w:val="center"/>
          </w:tcPr>
          <w:p>
            <w:pPr>
              <w:spacing w:after="0" w:line="259" w:lineRule="auto"/>
            </w:pPr>
            <w:r>
              <w:rPr>
                <w:rFonts w:ascii="Calibri" w:hAnsi="Calibri" w:eastAsia="Calibri"/>
                <w:color w:val="3E4139"/>
                <w:sz w:val="16"/>
              </w:rPr>
              <w:t>Ownership and inventory</w:t>
            </w:r>
          </w:p>
        </w:tc>
        <w:tc>
          <w:tcPr>
            <w:tcW w:type="dxa" w:w="7416"/>
            <w:tcMar>
              <w:top w:w="95" w:type="dxa"/>
              <w:start w:w="120" w:type="dxa"/>
              <w:bottom w:w="95" w:type="dxa"/>
              <w:end w:w="120" w:type="dxa"/>
            </w:tcMar>
            <w:vAlign w:val="center"/>
          </w:tcPr>
          <w:p>
            <w:pPr>
              <w:spacing w:after="0" w:line="259" w:lineRule="auto"/>
            </w:pPr>
            <w:r>
              <w:rPr>
                <w:rFonts w:ascii="Calibri" w:hAnsi="Calibri" w:eastAsia="Calibri"/>
                <w:color w:val="3E4139"/>
                <w:sz w:val="16"/>
              </w:rPr>
              <w:t>Department, technical contact, authorising officer, camera count, site breakdown, local IDs, names, addresses, coordinates, ownership and camera type.</w:t>
            </w:r>
          </w:p>
        </w:tc>
      </w:tr>
      <w:tr>
        <w:trPr>
          <w:cantSplit/>
        </w:trPr>
        <w:tc>
          <w:tcPr>
            <w:tcW w:type="dxa" w:w="2232"/>
            <w:tcMar>
              <w:top w:w="95" w:type="dxa"/>
              <w:start w:w="120" w:type="dxa"/>
              <w:bottom w:w="95" w:type="dxa"/>
              <w:end w:w="120" w:type="dxa"/>
            </w:tcMar>
            <w:vAlign w:val="center"/>
            <w:shd w:fill="FAF8F2"/>
          </w:tcPr>
          <w:p>
            <w:pPr>
              <w:spacing w:after="0" w:line="259" w:lineRule="auto"/>
            </w:pPr>
            <w:r>
              <w:rPr>
                <w:rFonts w:ascii="Calibri" w:hAnsi="Calibri" w:eastAsia="Calibri"/>
                <w:color w:val="3E4139"/>
                <w:sz w:val="16"/>
              </w:rPr>
              <w:t>Camera and recorder</w:t>
            </w:r>
          </w:p>
        </w:tc>
        <w:tc>
          <w:tcPr>
            <w:tcW w:type="dxa" w:w="7416"/>
            <w:tcMar>
              <w:top w:w="95" w:type="dxa"/>
              <w:start w:w="120" w:type="dxa"/>
              <w:bottom w:w="95" w:type="dxa"/>
              <w:end w:w="120" w:type="dxa"/>
            </w:tcMar>
            <w:vAlign w:val="center"/>
            <w:shd w:fill="FAF8F2"/>
          </w:tcPr>
          <w:p>
            <w:pPr>
              <w:spacing w:after="0" w:line="259" w:lineRule="auto"/>
            </w:pPr>
            <w:r>
              <w:rPr>
                <w:rFonts w:ascii="Calibri" w:hAnsi="Calibri" w:eastAsia="Calibri"/>
                <w:color w:val="3E4139"/>
                <w:sz w:val="16"/>
              </w:rPr>
              <w:t>Camera make, model and age; VMS, NVR or DVR make, model and firmware; analog or IP; fixed, PTZ or specialist role.</w:t>
            </w:r>
          </w:p>
        </w:tc>
      </w:tr>
      <w:tr>
        <w:trPr>
          <w:cantSplit/>
        </w:trPr>
        <w:tc>
          <w:tcPr>
            <w:tcW w:type="dxa" w:w="2232"/>
            <w:tcMar>
              <w:top w:w="95" w:type="dxa"/>
              <w:start w:w="120" w:type="dxa"/>
              <w:bottom w:w="95" w:type="dxa"/>
              <w:end w:w="120" w:type="dxa"/>
            </w:tcMar>
            <w:vAlign w:val="center"/>
          </w:tcPr>
          <w:p>
            <w:pPr>
              <w:spacing w:after="0" w:line="259" w:lineRule="auto"/>
            </w:pPr>
            <w:r>
              <w:rPr>
                <w:rFonts w:ascii="Calibri" w:hAnsi="Calibri" w:eastAsia="Calibri"/>
                <w:color w:val="3E4139"/>
                <w:sz w:val="16"/>
              </w:rPr>
              <w:t>Protocols and media</w:t>
            </w:r>
          </w:p>
        </w:tc>
        <w:tc>
          <w:tcPr>
            <w:tcW w:type="dxa" w:w="7416"/>
            <w:tcMar>
              <w:top w:w="95" w:type="dxa"/>
              <w:start w:w="120" w:type="dxa"/>
              <w:bottom w:w="95" w:type="dxa"/>
              <w:end w:w="120" w:type="dxa"/>
            </w:tcMar>
            <w:vAlign w:val="center"/>
          </w:tcPr>
          <w:p>
            <w:pPr>
              <w:spacing w:after="0" w:line="259" w:lineRule="auto"/>
            </w:pPr>
            <w:r>
              <w:rPr>
                <w:rFonts w:ascii="Calibri" w:hAnsi="Calibri" w:eastAsia="Calibri"/>
                <w:color w:val="3E4139"/>
                <w:sz w:val="16"/>
              </w:rPr>
              <w:t>ONVIF profile and port; RTSP endpoint form and TCP support; HLS, WebRTC or catalogue availability; codec, resolution, frame rate, bitrate and GOP interval.</w:t>
            </w:r>
          </w:p>
        </w:tc>
      </w:tr>
      <w:tr>
        <w:trPr>
          <w:cantSplit/>
        </w:trPr>
        <w:tc>
          <w:tcPr>
            <w:tcW w:type="dxa" w:w="2232"/>
            <w:tcMar>
              <w:top w:w="95" w:type="dxa"/>
              <w:start w:w="120" w:type="dxa"/>
              <w:bottom w:w="95" w:type="dxa"/>
              <w:end w:w="120" w:type="dxa"/>
            </w:tcMar>
            <w:vAlign w:val="center"/>
            <w:shd w:fill="FAF8F2"/>
          </w:tcPr>
          <w:p>
            <w:pPr>
              <w:spacing w:after="0" w:line="259" w:lineRule="auto"/>
            </w:pPr>
            <w:r>
              <w:rPr>
                <w:rFonts w:ascii="Calibri" w:hAnsi="Calibri" w:eastAsia="Calibri"/>
                <w:color w:val="3E4139"/>
                <w:sz w:val="16"/>
              </w:rPr>
              <w:t>Access and network</w:t>
            </w:r>
          </w:p>
        </w:tc>
        <w:tc>
          <w:tcPr>
            <w:tcW w:type="dxa" w:w="7416"/>
            <w:tcMar>
              <w:top w:w="95" w:type="dxa"/>
              <w:start w:w="120" w:type="dxa"/>
              <w:bottom w:w="95" w:type="dxa"/>
              <w:end w:w="120" w:type="dxa"/>
            </w:tcMar>
            <w:vAlign w:val="center"/>
            <w:shd w:fill="FAF8F2"/>
          </w:tcPr>
          <w:p>
            <w:pPr>
              <w:spacing w:after="0" w:line="259" w:lineRule="auto"/>
            </w:pPr>
            <w:r>
              <w:rPr>
                <w:rFonts w:ascii="Calibri" w:hAnsi="Calibri" w:eastAsia="Calibri"/>
                <w:color w:val="3E4139"/>
                <w:sz w:val="16"/>
              </w:rPr>
              <w:t>Read-only credential process, NAT and firewall posture, VPN or permitted source ranges, addressing, available bandwidth and concurrent-client limit.</w:t>
            </w:r>
          </w:p>
        </w:tc>
      </w:tr>
      <w:tr>
        <w:trPr>
          <w:cantSplit/>
        </w:trPr>
        <w:tc>
          <w:tcPr>
            <w:tcW w:type="dxa" w:w="2232"/>
            <w:tcMar>
              <w:top w:w="95" w:type="dxa"/>
              <w:start w:w="120" w:type="dxa"/>
              <w:bottom w:w="95" w:type="dxa"/>
              <w:end w:w="120" w:type="dxa"/>
            </w:tcMar>
            <w:vAlign w:val="center"/>
          </w:tcPr>
          <w:p>
            <w:pPr>
              <w:spacing w:after="0" w:line="259" w:lineRule="auto"/>
            </w:pPr>
            <w:r>
              <w:rPr>
                <w:rFonts w:ascii="Calibri" w:hAnsi="Calibri" w:eastAsia="Calibri"/>
                <w:color w:val="3E4139"/>
                <w:sz w:val="16"/>
              </w:rPr>
              <w:t>Deployment</w:t>
            </w:r>
          </w:p>
        </w:tc>
        <w:tc>
          <w:tcPr>
            <w:tcW w:type="dxa" w:w="7416"/>
            <w:tcMar>
              <w:top w:w="95" w:type="dxa"/>
              <w:start w:w="120" w:type="dxa"/>
              <w:bottom w:w="95" w:type="dxa"/>
              <w:end w:w="120" w:type="dxa"/>
            </w:tcMar>
            <w:vAlign w:val="center"/>
          </w:tcPr>
          <w:p>
            <w:pPr>
              <w:spacing w:after="0" w:line="259" w:lineRule="auto"/>
            </w:pPr>
            <w:r>
              <w:rPr>
                <w:rFonts w:ascii="Calibri" w:hAnsi="Calibri" w:eastAsia="Calibri"/>
                <w:color w:val="3E4139"/>
                <w:sz w:val="16"/>
              </w:rPr>
              <w:t>Permission for an edge node, power and UPS details, site reachability, support contact and fault-escalation hours.</w:t>
            </w:r>
          </w:p>
        </w:tc>
      </w:tr>
      <w:tr>
        <w:trPr>
          <w:cantSplit/>
        </w:trPr>
        <w:tc>
          <w:tcPr>
            <w:tcW w:type="dxa" w:w="2232"/>
            <w:tcMar>
              <w:top w:w="95" w:type="dxa"/>
              <w:start w:w="120" w:type="dxa"/>
              <w:bottom w:w="95" w:type="dxa"/>
              <w:end w:w="120" w:type="dxa"/>
            </w:tcMar>
            <w:vAlign w:val="center"/>
            <w:shd w:fill="FAF8F2"/>
          </w:tcPr>
          <w:p>
            <w:pPr>
              <w:spacing w:after="0" w:line="259" w:lineRule="auto"/>
            </w:pPr>
            <w:r>
              <w:rPr>
                <w:rFonts w:ascii="Calibri" w:hAnsi="Calibri" w:eastAsia="Calibri"/>
                <w:color w:val="3E4139"/>
                <w:sz w:val="16"/>
              </w:rPr>
              <w:t>Governance</w:t>
            </w:r>
          </w:p>
        </w:tc>
        <w:tc>
          <w:tcPr>
            <w:tcW w:type="dxa" w:w="7416"/>
            <w:tcMar>
              <w:top w:w="95" w:type="dxa"/>
              <w:start w:w="120" w:type="dxa"/>
              <w:bottom w:w="95" w:type="dxa"/>
              <w:end w:w="120" w:type="dxa"/>
            </w:tcMar>
            <w:vAlign w:val="center"/>
            <w:shd w:fill="FAF8F2"/>
          </w:tcPr>
          <w:p>
            <w:pPr>
              <w:spacing w:after="0" w:line="259" w:lineRule="auto"/>
            </w:pPr>
            <w:r>
              <w:rPr>
                <w:rFonts w:ascii="Calibri" w:hAnsi="Calibri" w:eastAsia="Calibri"/>
                <w:color w:val="3E4139"/>
                <w:sz w:val="16"/>
              </w:rPr>
              <w:t>Permitted analytics, exclusion zones, ANPR authorisation, data-sharing approval, retention, masking needs, approval expiry and maintenance responsibility.</w:t>
            </w:r>
          </w:p>
        </w:tc>
      </w:tr>
    </w:tbl>
    <w:p>
      <w:pPr>
        <w:spacing w:after="20"/>
      </w:pPr>
    </w:p>
    <w:p>
      <w:r>
        <w:br w:type="page"/>
      </w:r>
    </w:p>
    <w:p>
      <w:pPr>
        <w:pStyle w:val="Heading2"/>
        <w:keepNext/>
        <w:pageBreakBefore w:val="0"/>
      </w:pPr>
      <w:r>
        <w:t>12.3  Integration readiness</w:t>
      </w:r>
    </w:p>
    <w:tbl>
      <w:tblPr>
        <w:tblW w:type="dxa" w:w="9388"/>
        <w:tblLayout w:type="fixed"/>
        <w:tblLook w:firstColumn="1" w:firstRow="1" w:lastColumn="0" w:lastRow="0" w:noHBand="0" w:noVBand="1" w:val="04A0"/>
        <w:jc w:val="center"/>
        <w:tblInd w:w="0" w:type="dxa"/>
      </w:tblPr>
      <w:tblGrid>
        <w:gridCol w:w="1670"/>
        <w:gridCol w:w="259"/>
        <w:gridCol w:w="1670"/>
        <w:gridCol w:w="259"/>
        <w:gridCol w:w="1670"/>
        <w:gridCol w:w="259"/>
        <w:gridCol w:w="1670"/>
        <w:gridCol w:w="259"/>
        <w:gridCol w:w="1670"/>
      </w:tblGrid>
      <w:tr>
        <w:trPr>
          <w:cantSplit/>
        </w:trPr>
        <w:tc>
          <w:tcPr>
            <w:tcW w:type="dxa" w:w="1670"/>
            <w:vAlign w:val="center"/>
            <w:shd w:fill="E3EDE8"/>
            <w:tcMar>
              <w:top w:w="160" w:type="dxa"/>
              <w:start w:w="90" w:type="dxa"/>
              <w:bottom w:w="160" w:type="dxa"/>
              <w:end w:w="90" w:type="dxa"/>
            </w:tcMar>
          </w:tcPr>
          <w:p>
            <w:pPr>
              <w:spacing w:before="0" w:after="0"/>
              <w:jc w:val="center"/>
            </w:pPr>
            <w:r>
              <w:rPr>
                <w:rFonts w:ascii="Calibri" w:hAnsi="Calibri" w:eastAsia="Calibri"/>
                <w:b/>
                <w:color w:val="0B544A"/>
                <w:sz w:val="17"/>
              </w:rPr>
              <w:t>0  Metadata</w:t>
              <w:br/>
              <w:t>Registry and GIS</w:t>
            </w:r>
          </w:p>
        </w:tc>
        <w:tc>
          <w:tcPr>
            <w:tcW w:type="dxa" w:w="259"/>
            <w:vAlign w:val="center"/>
            <w:tcMar>
              <w:top w:w="0" w:type="dxa"/>
              <w:start w:w="0" w:type="dxa"/>
              <w:bottom w:w="0" w:type="dxa"/>
              <w:end w:w="0" w:type="dxa"/>
            </w:tcMar>
          </w:tcPr>
          <w:p>
            <w:pPr>
              <w:spacing w:before="0" w:after="0"/>
              <w:jc w:val="center"/>
            </w:pPr>
            <w:r>
              <w:rPr>
                <w:rFonts w:ascii="Consolas" w:hAnsi="Consolas" w:eastAsia="Consolas"/>
                <w:b/>
                <w:color w:val="9A5720"/>
                <w:sz w:val="28"/>
              </w:rPr>
              <w:t>&gt;</w:t>
            </w:r>
          </w:p>
        </w:tc>
        <w:tc>
          <w:tcPr>
            <w:tcW w:type="dxa" w:w="1670"/>
            <w:vAlign w:val="center"/>
            <w:shd w:fill="E3EDE8"/>
            <w:tcMar>
              <w:top w:w="160" w:type="dxa"/>
              <w:start w:w="90" w:type="dxa"/>
              <w:bottom w:w="160" w:type="dxa"/>
              <w:end w:w="90" w:type="dxa"/>
            </w:tcMar>
          </w:tcPr>
          <w:p>
            <w:pPr>
              <w:spacing w:before="0" w:after="0"/>
              <w:jc w:val="center"/>
            </w:pPr>
            <w:r>
              <w:rPr>
                <w:rFonts w:ascii="Calibri" w:hAnsi="Calibri" w:eastAsia="Calibri"/>
                <w:b/>
                <w:color w:val="0B544A"/>
                <w:sz w:val="17"/>
              </w:rPr>
              <w:t>1  Stream</w:t>
              <w:br/>
              <w:t>Live and health</w:t>
            </w:r>
          </w:p>
        </w:tc>
        <w:tc>
          <w:tcPr>
            <w:tcW w:type="dxa" w:w="259"/>
            <w:vAlign w:val="center"/>
            <w:tcMar>
              <w:top w:w="0" w:type="dxa"/>
              <w:start w:w="0" w:type="dxa"/>
              <w:bottom w:w="0" w:type="dxa"/>
              <w:end w:w="0" w:type="dxa"/>
            </w:tcMar>
          </w:tcPr>
          <w:p>
            <w:pPr>
              <w:spacing w:before="0" w:after="0"/>
              <w:jc w:val="center"/>
            </w:pPr>
            <w:r>
              <w:rPr>
                <w:rFonts w:ascii="Consolas" w:hAnsi="Consolas" w:eastAsia="Consolas"/>
                <w:b/>
                <w:color w:val="9A5720"/>
                <w:sz w:val="28"/>
              </w:rPr>
              <w:t>&gt;</w:t>
            </w:r>
          </w:p>
        </w:tc>
        <w:tc>
          <w:tcPr>
            <w:tcW w:type="dxa" w:w="1670"/>
            <w:vAlign w:val="center"/>
            <w:shd w:fill="E3EDE8"/>
            <w:tcMar>
              <w:top w:w="160" w:type="dxa"/>
              <w:start w:w="90" w:type="dxa"/>
              <w:bottom w:w="160" w:type="dxa"/>
              <w:end w:w="90" w:type="dxa"/>
            </w:tcMar>
          </w:tcPr>
          <w:p>
            <w:pPr>
              <w:spacing w:before="0" w:after="0"/>
              <w:jc w:val="center"/>
            </w:pPr>
            <w:r>
              <w:rPr>
                <w:rFonts w:ascii="Calibri" w:hAnsi="Calibri" w:eastAsia="Calibri"/>
                <w:b/>
                <w:color w:val="0B544A"/>
                <w:sz w:val="17"/>
              </w:rPr>
              <w:t>2  Analytics</w:t>
              <w:br/>
              <w:t>Detection and tracks</w:t>
            </w:r>
          </w:p>
        </w:tc>
        <w:tc>
          <w:tcPr>
            <w:tcW w:type="dxa" w:w="259"/>
            <w:vAlign w:val="center"/>
            <w:tcMar>
              <w:top w:w="0" w:type="dxa"/>
              <w:start w:w="0" w:type="dxa"/>
              <w:bottom w:w="0" w:type="dxa"/>
              <w:end w:w="0" w:type="dxa"/>
            </w:tcMar>
          </w:tcPr>
          <w:p>
            <w:pPr>
              <w:spacing w:before="0" w:after="0"/>
              <w:jc w:val="center"/>
            </w:pPr>
            <w:r>
              <w:rPr>
                <w:rFonts w:ascii="Consolas" w:hAnsi="Consolas" w:eastAsia="Consolas"/>
                <w:b/>
                <w:color w:val="9A5720"/>
                <w:sz w:val="28"/>
              </w:rPr>
              <w:t>&gt;</w:t>
            </w:r>
          </w:p>
        </w:tc>
        <w:tc>
          <w:tcPr>
            <w:tcW w:type="dxa" w:w="1670"/>
            <w:vAlign w:val="center"/>
            <w:shd w:fill="E3EDE8"/>
            <w:tcMar>
              <w:top w:w="160" w:type="dxa"/>
              <w:start w:w="90" w:type="dxa"/>
              <w:bottom w:w="160" w:type="dxa"/>
              <w:end w:w="90" w:type="dxa"/>
            </w:tcMar>
          </w:tcPr>
          <w:p>
            <w:pPr>
              <w:spacing w:before="0" w:after="0"/>
              <w:jc w:val="center"/>
            </w:pPr>
            <w:r>
              <w:rPr>
                <w:rFonts w:ascii="Calibri" w:hAnsi="Calibri" w:eastAsia="Calibri"/>
                <w:b/>
                <w:color w:val="0B544A"/>
                <w:sz w:val="17"/>
              </w:rPr>
              <w:t>3  ANPR</w:t>
              <w:br/>
              <w:t>Matches and alerts</w:t>
            </w:r>
          </w:p>
        </w:tc>
        <w:tc>
          <w:tcPr>
            <w:tcW w:type="dxa" w:w="259"/>
            <w:vAlign w:val="center"/>
            <w:tcMar>
              <w:top w:w="0" w:type="dxa"/>
              <w:start w:w="0" w:type="dxa"/>
              <w:bottom w:w="0" w:type="dxa"/>
              <w:end w:w="0" w:type="dxa"/>
            </w:tcMar>
          </w:tcPr>
          <w:p>
            <w:pPr>
              <w:spacing w:before="0" w:after="0"/>
              <w:jc w:val="center"/>
            </w:pPr>
            <w:r>
              <w:rPr>
                <w:rFonts w:ascii="Consolas" w:hAnsi="Consolas" w:eastAsia="Consolas"/>
                <w:b/>
                <w:color w:val="9A5720"/>
                <w:sz w:val="28"/>
              </w:rPr>
              <w:t>&gt;</w:t>
            </w:r>
          </w:p>
        </w:tc>
        <w:tc>
          <w:tcPr>
            <w:tcW w:type="dxa" w:w="1670"/>
            <w:vAlign w:val="center"/>
            <w:shd w:fill="E3EDE8"/>
            <w:tcMar>
              <w:top w:w="160" w:type="dxa"/>
              <w:start w:w="90" w:type="dxa"/>
              <w:bottom w:w="160" w:type="dxa"/>
              <w:end w:w="90" w:type="dxa"/>
            </w:tcMar>
          </w:tcPr>
          <w:p>
            <w:pPr>
              <w:spacing w:before="0" w:after="0"/>
              <w:jc w:val="center"/>
            </w:pPr>
            <w:r>
              <w:rPr>
                <w:rFonts w:ascii="Calibri" w:hAnsi="Calibri" w:eastAsia="Calibri"/>
                <w:b/>
                <w:color w:val="0B544A"/>
                <w:sz w:val="17"/>
              </w:rPr>
              <w:t>4  Time + location</w:t>
              <w:br/>
              <w:t>Journeys</w:t>
            </w:r>
          </w:p>
        </w:tc>
      </w:tr>
    </w:tbl>
    <w:p>
      <w:pPr>
        <w:spacing w:before="60" w:after="160"/>
        <w:jc w:val="center"/>
        <w:keepNext/>
      </w:pPr>
      <w:r>
        <w:rPr>
          <w:rFonts w:ascii="Calibri" w:hAnsi="Calibri" w:eastAsia="Calibri"/>
          <w:i/>
          <w:color w:val="6E7167"/>
          <w:sz w:val="17"/>
        </w:rPr>
        <w:t>Figure 13. Department integration readiness levels.</w:t>
      </w:r>
    </w:p>
    <w:p>
      <w:pPr>
        <w:pStyle w:val="Heading1"/>
        <w:keepNext/>
        <w:pageBreakBefore w:val="0"/>
      </w:pPr>
      <w:r>
        <w:t>13  Technology and measured performance</w:t>
      </w:r>
    </w:p>
    <w:tbl>
      <w:tblPr>
        <w:tblStyle w:val="TableGrid"/>
        <w:tblW w:type="dxa" w:w="9647"/>
        <w:jc w:val="center"/>
        <w:tblLayout w:type="fixed"/>
        <w:tblLook w:firstColumn="1" w:firstRow="1" w:lastColumn="0" w:lastRow="0" w:noHBand="0" w:noVBand="1" w:val="04A0"/>
        <w:tblInd w:w="0" w:type="dxa"/>
        <w:tblBorders>
          <w:top w:val="single" w:sz="6" w:space="0" w:color="D9D4C6"/>
          <w:left w:val="single" w:sz="6" w:space="0" w:color="D9D4C6"/>
          <w:bottom w:val="single" w:sz="6" w:space="0" w:color="D9D4C6"/>
          <w:right w:val="single" w:sz="6" w:space="0" w:color="D9D4C6"/>
          <w:insideH w:val="single" w:sz="6" w:space="0" w:color="D9D4C6"/>
          <w:insideV w:val="single" w:sz="6" w:space="0" w:color="D9D4C6"/>
        </w:tblBorders>
      </w:tblPr>
      <w:tblGrid>
        <w:gridCol w:w="2376"/>
        <w:gridCol w:w="7272"/>
      </w:tblGrid>
      <w:tr>
        <w:trPr>
          <w:tblHeader w:val="true"/>
        </w:trPr>
        <w:tc>
          <w:tcPr>
            <w:tcW w:type="dxa" w:w="2376"/>
            <w:shd w:fill="E3EDE8"/>
            <w:tcMar>
              <w:top w:w="105" w:type="dxa"/>
              <w:start w:w="120" w:type="dxa"/>
              <w:bottom w:w="105" w:type="dxa"/>
              <w:end w:w="120" w:type="dxa"/>
            </w:tcMar>
            <w:vAlign w:val="center"/>
          </w:tcPr>
          <w:p>
            <w:pPr>
              <w:spacing w:after="0"/>
            </w:pPr>
            <w:r>
              <w:rPr>
                <w:rFonts w:ascii="Calibri" w:hAnsi="Calibri" w:eastAsia="Calibri"/>
                <w:b/>
                <w:color w:val="0B544A"/>
                <w:sz w:val="17"/>
              </w:rPr>
              <w:t>Layer</w:t>
            </w:r>
          </w:p>
        </w:tc>
        <w:tc>
          <w:tcPr>
            <w:tcW w:type="dxa" w:w="7272"/>
            <w:shd w:fill="E3EDE8"/>
            <w:tcMar>
              <w:top w:w="105" w:type="dxa"/>
              <w:start w:w="120" w:type="dxa"/>
              <w:bottom w:w="105" w:type="dxa"/>
              <w:end w:w="120" w:type="dxa"/>
            </w:tcMar>
            <w:vAlign w:val="center"/>
          </w:tcPr>
          <w:p>
            <w:pPr>
              <w:spacing w:after="0"/>
            </w:pPr>
            <w:r>
              <w:rPr>
                <w:rFonts w:ascii="Calibri" w:hAnsi="Calibri" w:eastAsia="Calibri"/>
                <w:b/>
                <w:color w:val="0B544A"/>
                <w:sz w:val="17"/>
              </w:rPr>
              <w:t>Technology</w:t>
            </w:r>
          </w:p>
        </w:tc>
      </w:tr>
      <w:tr>
        <w:trPr>
          <w:cantSplit/>
        </w:trPr>
        <w:tc>
          <w:tcPr>
            <w:tcW w:type="dxa" w:w="2376"/>
            <w:tcMar>
              <w:top w:w="95" w:type="dxa"/>
              <w:start w:w="120" w:type="dxa"/>
              <w:bottom w:w="95" w:type="dxa"/>
              <w:end w:w="120" w:type="dxa"/>
            </w:tcMar>
            <w:vAlign w:val="center"/>
          </w:tcPr>
          <w:p>
            <w:pPr>
              <w:spacing w:after="0" w:line="259" w:lineRule="auto"/>
            </w:pPr>
            <w:r>
              <w:rPr>
                <w:rFonts w:ascii="Calibri" w:hAnsi="Calibri" w:eastAsia="Calibri"/>
                <w:color w:val="3E4139"/>
                <w:sz w:val="18"/>
              </w:rPr>
              <w:t>Backend</w:t>
            </w:r>
          </w:p>
        </w:tc>
        <w:tc>
          <w:tcPr>
            <w:tcW w:type="dxa" w:w="7272"/>
            <w:tcMar>
              <w:top w:w="95" w:type="dxa"/>
              <w:start w:w="120" w:type="dxa"/>
              <w:bottom w:w="95" w:type="dxa"/>
              <w:end w:w="120" w:type="dxa"/>
            </w:tcMar>
            <w:vAlign w:val="center"/>
          </w:tcPr>
          <w:p>
            <w:pPr>
              <w:spacing w:after="0" w:line="259" w:lineRule="auto"/>
            </w:pPr>
            <w:r>
              <w:rPr>
                <w:rFonts w:ascii="Calibri" w:hAnsi="Calibri" w:eastAsia="Calibri"/>
                <w:color w:val="3E4139"/>
                <w:sz w:val="18"/>
              </w:rPr>
              <w:t>Python 3.13, FastAPI, Uvicorn, SQLAlchemy and Alembic</w:t>
            </w:r>
          </w:p>
        </w:tc>
      </w:tr>
      <w:tr>
        <w:trPr>
          <w:cantSplit/>
        </w:trPr>
        <w:tc>
          <w:tcPr>
            <w:tcW w:type="dxa" w:w="2376"/>
            <w:tcMar>
              <w:top w:w="95" w:type="dxa"/>
              <w:start w:w="120" w:type="dxa"/>
              <w:bottom w:w="95" w:type="dxa"/>
              <w:end w:w="120" w:type="dxa"/>
            </w:tcMar>
            <w:vAlign w:val="center"/>
            <w:shd w:fill="FAF8F2"/>
          </w:tcPr>
          <w:p>
            <w:pPr>
              <w:spacing w:after="0" w:line="259" w:lineRule="auto"/>
            </w:pPr>
            <w:r>
              <w:rPr>
                <w:rFonts w:ascii="Calibri" w:hAnsi="Calibri" w:eastAsia="Calibri"/>
                <w:color w:val="3E4139"/>
                <w:sz w:val="18"/>
              </w:rPr>
              <w:t>Database and GIS</w:t>
            </w:r>
          </w:p>
        </w:tc>
        <w:tc>
          <w:tcPr>
            <w:tcW w:type="dxa" w:w="7272"/>
            <w:tcMar>
              <w:top w:w="95" w:type="dxa"/>
              <w:start w:w="120" w:type="dxa"/>
              <w:bottom w:w="95" w:type="dxa"/>
              <w:end w:w="120" w:type="dxa"/>
            </w:tcMar>
            <w:vAlign w:val="center"/>
            <w:shd w:fill="FAF8F2"/>
          </w:tcPr>
          <w:p>
            <w:pPr>
              <w:spacing w:after="0" w:line="259" w:lineRule="auto"/>
            </w:pPr>
            <w:r>
              <w:rPr>
                <w:rFonts w:ascii="Calibri" w:hAnsi="Calibri" w:eastAsia="Calibri"/>
                <w:color w:val="3E4139"/>
                <w:sz w:val="18"/>
              </w:rPr>
              <w:t>PostgreSQL 17, PostGIS and GeoAlchemy</w:t>
            </w:r>
          </w:p>
        </w:tc>
      </w:tr>
      <w:tr>
        <w:trPr>
          <w:cantSplit/>
        </w:trPr>
        <w:tc>
          <w:tcPr>
            <w:tcW w:type="dxa" w:w="2376"/>
            <w:tcMar>
              <w:top w:w="95" w:type="dxa"/>
              <w:start w:w="120" w:type="dxa"/>
              <w:bottom w:w="95" w:type="dxa"/>
              <w:end w:w="120" w:type="dxa"/>
            </w:tcMar>
            <w:vAlign w:val="center"/>
          </w:tcPr>
          <w:p>
            <w:pPr>
              <w:spacing w:after="0" w:line="259" w:lineRule="auto"/>
            </w:pPr>
            <w:r>
              <w:rPr>
                <w:rFonts w:ascii="Calibri" w:hAnsi="Calibri" w:eastAsia="Calibri"/>
                <w:color w:val="3E4139"/>
                <w:sz w:val="18"/>
              </w:rPr>
              <w:t>Operator console</w:t>
            </w:r>
          </w:p>
        </w:tc>
        <w:tc>
          <w:tcPr>
            <w:tcW w:type="dxa" w:w="7272"/>
            <w:tcMar>
              <w:top w:w="95" w:type="dxa"/>
              <w:start w:w="120" w:type="dxa"/>
              <w:bottom w:w="95" w:type="dxa"/>
              <w:end w:w="120" w:type="dxa"/>
            </w:tcMar>
            <w:vAlign w:val="center"/>
          </w:tcPr>
          <w:p>
            <w:pPr>
              <w:spacing w:after="0" w:line="259" w:lineRule="auto"/>
            </w:pPr>
            <w:r>
              <w:rPr>
                <w:rFonts w:ascii="Calibri" w:hAnsi="Calibri" w:eastAsia="Calibri"/>
                <w:color w:val="3E4139"/>
                <w:sz w:val="18"/>
              </w:rPr>
              <w:t>React 19, Vite, React Router, Leaflet, React Leaflet and hls.js</w:t>
            </w:r>
          </w:p>
        </w:tc>
      </w:tr>
      <w:tr>
        <w:trPr>
          <w:cantSplit/>
        </w:trPr>
        <w:tc>
          <w:tcPr>
            <w:tcW w:type="dxa" w:w="2376"/>
            <w:tcMar>
              <w:top w:w="95" w:type="dxa"/>
              <w:start w:w="120" w:type="dxa"/>
              <w:bottom w:w="95" w:type="dxa"/>
              <w:end w:w="120" w:type="dxa"/>
            </w:tcMar>
            <w:vAlign w:val="center"/>
            <w:shd w:fill="FAF8F2"/>
          </w:tcPr>
          <w:p>
            <w:pPr>
              <w:spacing w:after="0" w:line="259" w:lineRule="auto"/>
            </w:pPr>
            <w:r>
              <w:rPr>
                <w:rFonts w:ascii="Calibri" w:hAnsi="Calibri" w:eastAsia="Calibri"/>
                <w:color w:val="3E4139"/>
                <w:sz w:val="18"/>
              </w:rPr>
              <w:t>Media</w:t>
            </w:r>
          </w:p>
        </w:tc>
        <w:tc>
          <w:tcPr>
            <w:tcW w:type="dxa" w:w="7272"/>
            <w:tcMar>
              <w:top w:w="95" w:type="dxa"/>
              <w:start w:w="120" w:type="dxa"/>
              <w:bottom w:w="95" w:type="dxa"/>
              <w:end w:w="120" w:type="dxa"/>
            </w:tcMar>
            <w:vAlign w:val="center"/>
            <w:shd w:fill="FAF8F2"/>
          </w:tcPr>
          <w:p>
            <w:pPr>
              <w:spacing w:after="0" w:line="259" w:lineRule="auto"/>
            </w:pPr>
            <w:r>
              <w:rPr>
                <w:rFonts w:ascii="Calibri" w:hAnsi="Calibri" w:eastAsia="Calibri"/>
                <w:color w:val="3E4139"/>
                <w:sz w:val="18"/>
              </w:rPr>
              <w:t>FFmpeg, ffprobe, OpenCV and MediaMTX</w:t>
            </w:r>
          </w:p>
        </w:tc>
      </w:tr>
      <w:tr>
        <w:trPr>
          <w:cantSplit/>
        </w:trPr>
        <w:tc>
          <w:tcPr>
            <w:tcW w:type="dxa" w:w="2376"/>
            <w:tcMar>
              <w:top w:w="95" w:type="dxa"/>
              <w:start w:w="120" w:type="dxa"/>
              <w:bottom w:w="95" w:type="dxa"/>
              <w:end w:w="120" w:type="dxa"/>
            </w:tcMar>
            <w:vAlign w:val="center"/>
          </w:tcPr>
          <w:p>
            <w:pPr>
              <w:spacing w:after="0" w:line="259" w:lineRule="auto"/>
            </w:pPr>
            <w:r>
              <w:rPr>
                <w:rFonts w:ascii="Calibri" w:hAnsi="Calibri" w:eastAsia="Calibri"/>
                <w:color w:val="3E4139"/>
                <w:sz w:val="18"/>
              </w:rPr>
              <w:t>Analytics</w:t>
            </w:r>
          </w:p>
        </w:tc>
        <w:tc>
          <w:tcPr>
            <w:tcW w:type="dxa" w:w="7272"/>
            <w:tcMar>
              <w:top w:w="95" w:type="dxa"/>
              <w:start w:w="120" w:type="dxa"/>
              <w:bottom w:w="95" w:type="dxa"/>
              <w:end w:w="120" w:type="dxa"/>
            </w:tcMar>
            <w:vAlign w:val="center"/>
          </w:tcPr>
          <w:p>
            <w:pPr>
              <w:spacing w:after="0" w:line="259" w:lineRule="auto"/>
            </w:pPr>
            <w:r>
              <w:rPr>
                <w:rFonts w:ascii="Calibri" w:hAnsi="Calibri" w:eastAsia="Calibri"/>
                <w:color w:val="3E4139"/>
                <w:sz w:val="18"/>
              </w:rPr>
              <w:t>YOLO11, ByteTrack, fast-alpr and ONNX Runtime</w:t>
            </w:r>
          </w:p>
        </w:tc>
      </w:tr>
      <w:tr>
        <w:trPr>
          <w:cantSplit/>
        </w:trPr>
        <w:tc>
          <w:tcPr>
            <w:tcW w:type="dxa" w:w="2376"/>
            <w:tcMar>
              <w:top w:w="95" w:type="dxa"/>
              <w:start w:w="120" w:type="dxa"/>
              <w:bottom w:w="95" w:type="dxa"/>
              <w:end w:w="120" w:type="dxa"/>
            </w:tcMar>
            <w:vAlign w:val="center"/>
            <w:shd w:fill="FAF8F2"/>
          </w:tcPr>
          <w:p>
            <w:pPr>
              <w:spacing w:after="0" w:line="259" w:lineRule="auto"/>
            </w:pPr>
            <w:r>
              <w:rPr>
                <w:rFonts w:ascii="Calibri" w:hAnsi="Calibri" w:eastAsia="Calibri"/>
                <w:color w:val="3E4139"/>
                <w:sz w:val="18"/>
              </w:rPr>
              <w:t>Reports</w:t>
            </w:r>
          </w:p>
        </w:tc>
        <w:tc>
          <w:tcPr>
            <w:tcW w:type="dxa" w:w="7272"/>
            <w:tcMar>
              <w:top w:w="95" w:type="dxa"/>
              <w:start w:w="120" w:type="dxa"/>
              <w:bottom w:w="95" w:type="dxa"/>
              <w:end w:w="120" w:type="dxa"/>
            </w:tcMar>
            <w:vAlign w:val="center"/>
            <w:shd w:fill="FAF8F2"/>
          </w:tcPr>
          <w:p>
            <w:pPr>
              <w:spacing w:after="0" w:line="259" w:lineRule="auto"/>
            </w:pPr>
            <w:r>
              <w:rPr>
                <w:rFonts w:ascii="Calibri" w:hAnsi="Calibri" w:eastAsia="Calibri"/>
                <w:color w:val="3E4139"/>
                <w:sz w:val="18"/>
              </w:rPr>
              <w:t>Jinja templates and WeasyPrint</w:t>
            </w:r>
          </w:p>
        </w:tc>
      </w:tr>
    </w:tbl>
    <w:p>
      <w:pPr>
        <w:spacing w:after="20"/>
      </w:pPr>
    </w:p>
    <w:tbl>
      <w:tblPr>
        <w:tblStyle w:val="TableGrid"/>
        <w:tblW w:type="dxa" w:w="9647"/>
        <w:jc w:val="center"/>
        <w:tblLayout w:type="fixed"/>
        <w:tblLook w:firstColumn="1" w:firstRow="1" w:lastColumn="0" w:lastRow="0" w:noHBand="0" w:noVBand="1" w:val="04A0"/>
        <w:tblInd w:w="0" w:type="dxa"/>
        <w:tblBorders>
          <w:top w:val="single" w:sz="6" w:space="0" w:color="D9D4C6"/>
          <w:left w:val="single" w:sz="6" w:space="0" w:color="D9D4C6"/>
          <w:bottom w:val="single" w:sz="6" w:space="0" w:color="D9D4C6"/>
          <w:right w:val="single" w:sz="6" w:space="0" w:color="D9D4C6"/>
          <w:insideH w:val="single" w:sz="6" w:space="0" w:color="D9D4C6"/>
          <w:insideV w:val="single" w:sz="6" w:space="0" w:color="D9D4C6"/>
        </w:tblBorders>
      </w:tblPr>
      <w:tblGrid>
        <w:gridCol w:w="3384"/>
        <w:gridCol w:w="6263"/>
      </w:tblGrid>
      <w:tr>
        <w:trPr>
          <w:tblHeader w:val="true"/>
        </w:trPr>
        <w:tc>
          <w:tcPr>
            <w:tcW w:type="dxa" w:w="3384"/>
            <w:shd w:fill="E3EDE8"/>
            <w:tcMar>
              <w:top w:w="105" w:type="dxa"/>
              <w:start w:w="120" w:type="dxa"/>
              <w:bottom w:w="105" w:type="dxa"/>
              <w:end w:w="120" w:type="dxa"/>
            </w:tcMar>
            <w:vAlign w:val="center"/>
          </w:tcPr>
          <w:p>
            <w:pPr>
              <w:spacing w:after="0"/>
            </w:pPr>
            <w:r>
              <w:rPr>
                <w:rFonts w:ascii="Calibri" w:hAnsi="Calibri" w:eastAsia="Calibri"/>
                <w:b/>
                <w:color w:val="0B544A"/>
                <w:sz w:val="17"/>
              </w:rPr>
              <w:t>Measured check</w:t>
            </w:r>
          </w:p>
        </w:tc>
        <w:tc>
          <w:tcPr>
            <w:tcW w:type="dxa" w:w="6263"/>
            <w:shd w:fill="E3EDE8"/>
            <w:tcMar>
              <w:top w:w="105" w:type="dxa"/>
              <w:start w:w="120" w:type="dxa"/>
              <w:bottom w:w="105" w:type="dxa"/>
              <w:end w:w="120" w:type="dxa"/>
            </w:tcMar>
            <w:vAlign w:val="center"/>
          </w:tcPr>
          <w:p>
            <w:pPr>
              <w:spacing w:after="0"/>
            </w:pPr>
            <w:r>
              <w:rPr>
                <w:rFonts w:ascii="Calibri" w:hAnsi="Calibri" w:eastAsia="Calibri"/>
                <w:b/>
                <w:color w:val="0B544A"/>
                <w:sz w:val="17"/>
              </w:rPr>
              <w:t>Recorded result</w:t>
            </w:r>
          </w:p>
        </w:tc>
      </w:tr>
      <w:tr>
        <w:trPr>
          <w:cantSplit/>
        </w:trPr>
        <w:tc>
          <w:tcPr>
            <w:tcW w:type="dxa" w:w="3384"/>
            <w:tcMar>
              <w:top w:w="95" w:type="dxa"/>
              <w:start w:w="120" w:type="dxa"/>
              <w:bottom w:w="95" w:type="dxa"/>
              <w:end w:w="120" w:type="dxa"/>
            </w:tcMar>
            <w:vAlign w:val="center"/>
          </w:tcPr>
          <w:p>
            <w:pPr>
              <w:spacing w:after="0" w:line="259" w:lineRule="auto"/>
            </w:pPr>
            <w:r>
              <w:rPr>
                <w:rFonts w:ascii="Calibri" w:hAnsi="Calibri" w:eastAsia="Calibri"/>
                <w:color w:val="3E4139"/>
                <w:sz w:val="18"/>
              </w:rPr>
              <w:t>Detection to visible alert</w:t>
            </w:r>
          </w:p>
        </w:tc>
        <w:tc>
          <w:tcPr>
            <w:tcW w:type="dxa" w:w="6263"/>
            <w:tcMar>
              <w:top w:w="95" w:type="dxa"/>
              <w:start w:w="120" w:type="dxa"/>
              <w:bottom w:w="95" w:type="dxa"/>
              <w:end w:w="120" w:type="dxa"/>
            </w:tcMar>
            <w:vAlign w:val="center"/>
          </w:tcPr>
          <w:p>
            <w:pPr>
              <w:spacing w:after="0" w:line="259" w:lineRule="auto"/>
            </w:pPr>
            <w:r>
              <w:rPr>
                <w:rFonts w:ascii="Calibri" w:hAnsi="Calibri" w:eastAsia="Calibri"/>
                <w:color w:val="3E4139"/>
                <w:sz w:val="18"/>
              </w:rPr>
              <w:t>2.1 to 2.9 seconds across four full-pipeline runs</w:t>
            </w:r>
          </w:p>
        </w:tc>
      </w:tr>
      <w:tr>
        <w:trPr>
          <w:cantSplit/>
        </w:trPr>
        <w:tc>
          <w:tcPr>
            <w:tcW w:type="dxa" w:w="3384"/>
            <w:tcMar>
              <w:top w:w="95" w:type="dxa"/>
              <w:start w:w="120" w:type="dxa"/>
              <w:bottom w:w="95" w:type="dxa"/>
              <w:end w:w="120" w:type="dxa"/>
            </w:tcMar>
            <w:vAlign w:val="center"/>
            <w:shd w:fill="FAF8F2"/>
          </w:tcPr>
          <w:p>
            <w:pPr>
              <w:spacing w:after="0" w:line="259" w:lineRule="auto"/>
            </w:pPr>
            <w:r>
              <w:rPr>
                <w:rFonts w:ascii="Calibri" w:hAnsi="Calibri" w:eastAsia="Calibri"/>
                <w:color w:val="3E4139"/>
                <w:sz w:val="18"/>
              </w:rPr>
              <w:t>Feed interruption recovery</w:t>
            </w:r>
          </w:p>
        </w:tc>
        <w:tc>
          <w:tcPr>
            <w:tcW w:type="dxa" w:w="6263"/>
            <w:tcMar>
              <w:top w:w="95" w:type="dxa"/>
              <w:start w:w="120" w:type="dxa"/>
              <w:bottom w:w="95" w:type="dxa"/>
              <w:end w:w="120" w:type="dxa"/>
            </w:tcMar>
            <w:vAlign w:val="center"/>
            <w:shd w:fill="FAF8F2"/>
          </w:tcPr>
          <w:p>
            <w:pPr>
              <w:spacing w:after="0" w:line="259" w:lineRule="auto"/>
            </w:pPr>
            <w:r>
              <w:rPr>
                <w:rFonts w:ascii="Calibri" w:hAnsi="Calibri" w:eastAsia="Calibri"/>
                <w:color w:val="3E4139"/>
                <w:sz w:val="18"/>
              </w:rPr>
              <w:t>1.3 seconds with no spurious reconnects in the recorded run</w:t>
            </w:r>
          </w:p>
        </w:tc>
      </w:tr>
      <w:tr>
        <w:trPr>
          <w:cantSplit/>
        </w:trPr>
        <w:tc>
          <w:tcPr>
            <w:tcW w:type="dxa" w:w="3384"/>
            <w:tcMar>
              <w:top w:w="95" w:type="dxa"/>
              <w:start w:w="120" w:type="dxa"/>
              <w:bottom w:w="95" w:type="dxa"/>
              <w:end w:w="120" w:type="dxa"/>
            </w:tcMar>
            <w:vAlign w:val="center"/>
          </w:tcPr>
          <w:p>
            <w:pPr>
              <w:spacing w:after="0" w:line="259" w:lineRule="auto"/>
            </w:pPr>
            <w:r>
              <w:rPr>
                <w:rFonts w:ascii="Calibri" w:hAnsi="Calibri" w:eastAsia="Calibri"/>
                <w:color w:val="3E4139"/>
                <w:sz w:val="18"/>
              </w:rPr>
              <w:t>Backend restart</w:t>
            </w:r>
          </w:p>
        </w:tc>
        <w:tc>
          <w:tcPr>
            <w:tcW w:type="dxa" w:w="6263"/>
            <w:tcMar>
              <w:top w:w="95" w:type="dxa"/>
              <w:start w:w="120" w:type="dxa"/>
              <w:bottom w:w="95" w:type="dxa"/>
              <w:end w:w="120" w:type="dxa"/>
            </w:tcMar>
            <w:vAlign w:val="center"/>
          </w:tcPr>
          <w:p>
            <w:pPr>
              <w:spacing w:after="0" w:line="259" w:lineRule="auto"/>
            </w:pPr>
            <w:r>
              <w:rPr>
                <w:rFonts w:ascii="Calibri" w:hAnsi="Calibri" w:eastAsia="Calibri"/>
                <w:color w:val="3E4139"/>
                <w:sz w:val="18"/>
              </w:rPr>
              <w:t>1.6 seconds with counts unchanged</w:t>
            </w:r>
          </w:p>
        </w:tc>
      </w:tr>
      <w:tr>
        <w:trPr>
          <w:cantSplit/>
        </w:trPr>
        <w:tc>
          <w:tcPr>
            <w:tcW w:type="dxa" w:w="3384"/>
            <w:tcMar>
              <w:top w:w="95" w:type="dxa"/>
              <w:start w:w="120" w:type="dxa"/>
              <w:bottom w:w="95" w:type="dxa"/>
              <w:end w:w="120" w:type="dxa"/>
            </w:tcMar>
            <w:vAlign w:val="center"/>
            <w:shd w:fill="FAF8F2"/>
          </w:tcPr>
          <w:p>
            <w:pPr>
              <w:spacing w:after="0" w:line="259" w:lineRule="auto"/>
            </w:pPr>
            <w:r>
              <w:rPr>
                <w:rFonts w:ascii="Calibri" w:hAnsi="Calibri" w:eastAsia="Calibri"/>
                <w:color w:val="3E4139"/>
                <w:sz w:val="18"/>
              </w:rPr>
              <w:t>Database connection loss</w:t>
            </w:r>
          </w:p>
        </w:tc>
        <w:tc>
          <w:tcPr>
            <w:tcW w:type="dxa" w:w="6263"/>
            <w:tcMar>
              <w:top w:w="95" w:type="dxa"/>
              <w:start w:w="120" w:type="dxa"/>
              <w:bottom w:w="95" w:type="dxa"/>
              <w:end w:w="120" w:type="dxa"/>
            </w:tcMar>
            <w:vAlign w:val="center"/>
            <w:shd w:fill="FAF8F2"/>
          </w:tcPr>
          <w:p>
            <w:pPr>
              <w:spacing w:after="0" w:line="259" w:lineRule="auto"/>
            </w:pPr>
            <w:r>
              <w:rPr>
                <w:rFonts w:ascii="Calibri" w:hAnsi="Calibri" w:eastAsia="Calibri"/>
                <w:color w:val="3E4139"/>
                <w:sz w:val="18"/>
              </w:rPr>
              <w:t>1.1 seconds without a worker process crash</w:t>
            </w:r>
          </w:p>
        </w:tc>
      </w:tr>
      <w:tr>
        <w:trPr>
          <w:cantSplit/>
        </w:trPr>
        <w:tc>
          <w:tcPr>
            <w:tcW w:type="dxa" w:w="3384"/>
            <w:tcMar>
              <w:top w:w="95" w:type="dxa"/>
              <w:start w:w="120" w:type="dxa"/>
              <w:bottom w:w="95" w:type="dxa"/>
              <w:end w:w="120" w:type="dxa"/>
            </w:tcMar>
            <w:vAlign w:val="center"/>
          </w:tcPr>
          <w:p>
            <w:pPr>
              <w:spacing w:after="0" w:line="259" w:lineRule="auto"/>
            </w:pPr>
            <w:r>
              <w:rPr>
                <w:rFonts w:ascii="Calibri" w:hAnsi="Calibri" w:eastAsia="Calibri"/>
                <w:color w:val="3E4139"/>
                <w:sz w:val="18"/>
              </w:rPr>
              <w:t>Duplicate alert handling</w:t>
            </w:r>
          </w:p>
        </w:tc>
        <w:tc>
          <w:tcPr>
            <w:tcW w:type="dxa" w:w="6263"/>
            <w:tcMar>
              <w:top w:w="95" w:type="dxa"/>
              <w:start w:w="120" w:type="dxa"/>
              <w:bottom w:w="95" w:type="dxa"/>
              <w:end w:w="120" w:type="dxa"/>
            </w:tcMar>
            <w:vAlign w:val="center"/>
          </w:tcPr>
          <w:p>
            <w:pPr>
              <w:spacing w:after="0" w:line="259" w:lineRule="auto"/>
            </w:pPr>
            <w:r>
              <w:rPr>
                <w:rFonts w:ascii="Calibri" w:hAnsi="Calibri" w:eastAsia="Calibri"/>
                <w:color w:val="3E4139"/>
                <w:sz w:val="18"/>
              </w:rPr>
              <w:t>One alert for two matching sightings inside the deduplication window</w:t>
            </w:r>
          </w:p>
        </w:tc>
      </w:tr>
      <w:tr>
        <w:trPr>
          <w:cantSplit/>
        </w:trPr>
        <w:tc>
          <w:tcPr>
            <w:tcW w:type="dxa" w:w="3384"/>
            <w:tcMar>
              <w:top w:w="95" w:type="dxa"/>
              <w:start w:w="120" w:type="dxa"/>
              <w:bottom w:w="95" w:type="dxa"/>
              <w:end w:w="120" w:type="dxa"/>
            </w:tcMar>
            <w:vAlign w:val="center"/>
            <w:shd w:fill="FAF8F2"/>
          </w:tcPr>
          <w:p>
            <w:pPr>
              <w:spacing w:after="0" w:line="259" w:lineRule="auto"/>
            </w:pPr>
            <w:r>
              <w:rPr>
                <w:rFonts w:ascii="Calibri" w:hAnsi="Calibri" w:eastAsia="Calibri"/>
                <w:color w:val="3E4139"/>
                <w:sz w:val="18"/>
              </w:rPr>
              <w:t>Concurrent ANPR workers</w:t>
            </w:r>
          </w:p>
        </w:tc>
        <w:tc>
          <w:tcPr>
            <w:tcW w:type="dxa" w:w="6263"/>
            <w:tcMar>
              <w:top w:w="95" w:type="dxa"/>
              <w:start w:w="120" w:type="dxa"/>
              <w:bottom w:w="95" w:type="dxa"/>
              <w:end w:w="120" w:type="dxa"/>
            </w:tcMar>
            <w:vAlign w:val="center"/>
            <w:shd w:fill="FAF8F2"/>
          </w:tcPr>
          <w:p>
            <w:pPr>
              <w:spacing w:after="0" w:line="259" w:lineRule="auto"/>
            </w:pPr>
            <w:r>
              <w:rPr>
                <w:rFonts w:ascii="Calibri" w:hAnsi="Calibri" w:eastAsia="Calibri"/>
                <w:color w:val="3E4139"/>
                <w:sz w:val="18"/>
              </w:rPr>
              <w:t>Three workers sustained at 6.9 to 11.9 frames per second per camera</w:t>
            </w:r>
          </w:p>
        </w:tc>
      </w:tr>
      <w:tr>
        <w:trPr>
          <w:cantSplit/>
        </w:trPr>
        <w:tc>
          <w:tcPr>
            <w:tcW w:type="dxa" w:w="3384"/>
            <w:tcMar>
              <w:top w:w="95" w:type="dxa"/>
              <w:start w:w="120" w:type="dxa"/>
              <w:bottom w:w="95" w:type="dxa"/>
              <w:end w:w="120" w:type="dxa"/>
            </w:tcMar>
            <w:vAlign w:val="center"/>
          </w:tcPr>
          <w:p>
            <w:pPr>
              <w:spacing w:after="0" w:line="259" w:lineRule="auto"/>
            </w:pPr>
            <w:r>
              <w:rPr>
                <w:rFonts w:ascii="Calibri" w:hAnsi="Calibri" w:eastAsia="Calibri"/>
                <w:color w:val="3E4139"/>
                <w:sz w:val="18"/>
              </w:rPr>
              <w:t>Mixed codec handling</w:t>
            </w:r>
          </w:p>
        </w:tc>
        <w:tc>
          <w:tcPr>
            <w:tcW w:type="dxa" w:w="6263"/>
            <w:tcMar>
              <w:top w:w="95" w:type="dxa"/>
              <w:start w:w="120" w:type="dxa"/>
              <w:bottom w:w="95" w:type="dxa"/>
              <w:end w:w="120" w:type="dxa"/>
            </w:tcMar>
            <w:vAlign w:val="center"/>
          </w:tcPr>
          <w:p>
            <w:pPr>
              <w:spacing w:after="0" w:line="259" w:lineRule="auto"/>
            </w:pPr>
            <w:r>
              <w:rPr>
                <w:rFonts w:ascii="Calibri" w:hAnsi="Calibri" w:eastAsia="Calibri"/>
                <w:color w:val="3E4139"/>
                <w:sz w:val="18"/>
              </w:rPr>
              <w:t>H.264 and HEVC/H.265, including 960 x 540 at 15 frames per second</w:t>
            </w:r>
          </w:p>
        </w:tc>
      </w:tr>
    </w:tbl>
    <w:p>
      <w:pPr>
        <w:spacing w:after="20"/>
      </w:pPr>
    </w:p>
    <w:p>
      <w:pPr>
        <w:spacing w:before="0" w:after="100" w:line="269" w:lineRule="auto"/>
        <w:jc w:val="left"/>
      </w:pPr>
      <w:r>
        <w:rPr>
          <w:rFonts w:ascii="Calibri" w:hAnsi="Calibri" w:eastAsia="Calibri"/>
          <w:i w:val="0"/>
          <w:color w:val="1A1B17"/>
          <w:sz w:val="21"/>
        </w:rPr>
        <w:t>These measurements describe the recorded synthetic and protocol-compatible test runs. They show the behaviour of the current implementation and are not an accuracy score for plate recognition on operational CCTV footage.</w:t>
      </w:r>
    </w:p>
    <w:p>
      <w:pPr>
        <w:spacing w:before="240" w:after="0" w:line="283" w:lineRule="auto"/>
        <w:pBdr>
          <w:top w:val="single" w:sz="14" w:space="8" w:color="0F6A5E"/>
        </w:pBdr>
      </w:pPr>
      <w:r>
        <w:rPr>
          <w:rFonts w:ascii="Calibri" w:hAnsi="Calibri" w:eastAsia="Calibri"/>
          <w:b/>
          <w:color w:val="0B544A"/>
          <w:sz w:val="22"/>
        </w:rPr>
        <w:t>Sentinel keeps departmental camera systems read-only, moves continuous analytics close to camera sites, stores governed metadata and audit centrally, and gives authorised operators a traceable path from observation to action.</w:t>
      </w:r>
    </w:p>
    <w:sectPr w:rsidR="00FC693F" w:rsidRPr="0006063C" w:rsidSect="00034616">
      <w:headerReference w:type="default" r:id="rId9"/>
      <w:footerReference w:type="default" r:id="rId10"/>
      <w:pgSz w:w="11906" w:h="16838"/>
      <w:pgMar w:top="1049" w:right="1106" w:bottom="992" w:left="1106" w:header="454" w:footer="45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Calibri" w:hAnsi="Calibri" w:eastAsia="Calibri"/>
        <w:color w:val="6E7167"/>
        <w:sz w:val="17"/>
      </w:rPr>
      <w:t xml:space="preserve">Page </w:t>
      <w:fldChar w:fldCharType="begin"/>
      <w:instrText xml:space="preserve"> PAGE </w:instrText>
      <w:fldChar w:fldCharType="separate"/>
      <w:t>1</w: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tbl>
    <w:tblPr>
      <w:tblW w:type="dxa" w:w="9648"/>
      <w:jc w:val="center"/>
      <w:tblLayout w:type="fixed"/>
      <w:tblLook w:firstColumn="1" w:firstRow="1" w:lastColumn="0" w:lastRow="0" w:noHBand="0" w:noVBand="1" w:val="04A0"/>
      <w:tblInd w:w="0" w:type="dxa"/>
    </w:tblPr>
    <w:tblGrid>
      <w:gridCol w:w="4824"/>
      <w:gridCol w:w="4824"/>
    </w:tblGrid>
    <w:tr>
      <w:tc>
        <w:tcPr>
          <w:tcW w:type="dxa" w:w="4824"/>
        </w:tcPr>
        <w:p>
          <w:pPr>
            <w:spacing w:after="0"/>
            <w:jc w:val="left"/>
          </w:pPr>
          <w:r>
            <w:rPr>
              <w:rFonts w:ascii="Consolas" w:hAnsi="Consolas" w:eastAsia="Consolas"/>
              <w:b/>
              <w:color w:val="6E7167"/>
              <w:sz w:val="15"/>
            </w:rPr>
            <w:t>SENTINEL | HIGH-LEVEL DESIGN</w:t>
          </w:r>
        </w:p>
      </w:tc>
      <w:tc>
        <w:tcPr>
          <w:tcW w:type="dxa" w:w="4824"/>
        </w:tcPr>
        <w:p>
          <w:pPr>
            <w:spacing w:after="0"/>
            <w:jc w:val="right"/>
          </w:pPr>
          <w:r>
            <w:rPr>
              <w:rFonts w:ascii="Consolas" w:hAnsi="Consolas" w:eastAsia="Consolas"/>
              <w:b w:val="0"/>
              <w:color w:val="6E7167"/>
              <w:sz w:val="15"/>
            </w:rPr>
            <w:t>CCTV Integration Challenge</w:t>
          </w:r>
        </w:p>
      </w:tc>
    </w:tr>
  </w:tbl>
  <w:p>
    <w:pPr>
      <w:spacing w:before="0" w:after="0"/>
      <w:pBdr>
        <w:bottom w:val="single" w:sz="6" w:space="2" w:color="BDB7A5"/>
      </w:pBd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69" w:lineRule="auto"/>
    </w:pPr>
    <w:rPr>
      <w:rFonts w:ascii="Calibri" w:hAnsi="Calibri"/>
      <w:color w:val="1A1B17"/>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00" w:after="140"/>
      <w:outlineLvl w:val="0"/>
    </w:pPr>
    <w:rPr>
      <w:rFonts w:asciiTheme="majorHAnsi" w:eastAsiaTheme="majorEastAsia" w:hAnsiTheme="majorHAnsi" w:cstheme="majorBidi" w:ascii="Calibri" w:hAnsi="Calibri"/>
      <w:b/>
      <w:bCs/>
      <w:color w:val="0B544A"/>
      <w:sz w:val="32"/>
      <w:szCs w:val="28"/>
    </w:rPr>
  </w:style>
  <w:style w:type="paragraph" w:styleId="Heading2">
    <w:name w:val="heading 2"/>
    <w:basedOn w:val="Normal"/>
    <w:next w:val="Normal"/>
    <w:link w:val="Heading2Char"/>
    <w:uiPriority w:val="9"/>
    <w:unhideWhenUsed/>
    <w:qFormat/>
    <w:rsid w:val="00FC693F"/>
    <w:pPr>
      <w:keepNext/>
      <w:keepLines/>
      <w:spacing w:before="220" w:after="100"/>
      <w:outlineLvl w:val="1"/>
    </w:pPr>
    <w:rPr>
      <w:rFonts w:asciiTheme="majorHAnsi" w:eastAsiaTheme="majorEastAsia" w:hAnsiTheme="majorHAnsi" w:cstheme="majorBidi" w:ascii="Calibri" w:hAnsi="Calibri"/>
      <w:b/>
      <w:bCs/>
      <w:color w:val="0F6A5E"/>
      <w:sz w:val="25"/>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Calibri" w:hAnsi="Calibri"/>
      <w:b/>
      <w:bCs/>
      <w:color w:val="0B544A"/>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 Id="rId18"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Sentinel High-Level Design</dc:title>
  <dc:subject>Gujarat Police Innovation Hackathon 2026 CCTV Integration Challenge</dc:subject>
  <dc:creator>Vatsal Mehta, Sidharth Chakrat and Pratham Shah</dc:creator>
  <cp:keywords>Sentinel, CCTV, HLD, Gujarat Police, ANPR, GIS</cp:keywords>
  <dc:description>generated by python-docx</dc:description>
  <cp:lastModifiedBy/>
  <cp:revision>1</cp:revision>
  <dcterms:created xsi:type="dcterms:W3CDTF">2013-12-23T23:15:00Z</dcterms:created>
  <dcterms:modified xsi:type="dcterms:W3CDTF">2013-12-23T23:15:00Z</dcterms:modified>
  <cp:category/>
</cp:coreProperties>
</file>