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7 · Polimorfismo en acción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7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Sobrescribir un método en varias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referencias de superclase de forma polimórfica.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Recorrer una colección heterogénea con un mismo bucle.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superclase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un método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devuelva 0.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subclases </w:t>
      </w:r>
      <w:r>
        <w:rPr>
          <w:rFonts w:ascii="Consolas" w:hAnsi="Consolas" w:cs="Consolas"/>
          <w:color w:val="000000"/>
          <w:sz w:val="22"/>
          <w:szCs w:val="22"/>
        </w:rPr>
        <w:t xml:space="preserve">Circulo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Rectangulo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Triangulo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sobrescriban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un arreglo </w:t>
      </w:r>
      <w:r>
        <w:rPr>
          <w:rFonts w:ascii="Consolas" w:hAnsi="Consolas" w:cs="Consolas"/>
          <w:color w:val="000000"/>
          <w:sz w:val="22"/>
          <w:szCs w:val="22"/>
        </w:rPr>
        <w:t xml:space="preserve">Figura[]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objetos de las tres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el arreglo con un solo bucle e imprime el área de cada figura (polimorfismo).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subclase.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Arreglo de tipo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distintas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único bucle que use polimorfismo.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poo-s07-polimorfismo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poo-s07-polimorfismo/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salida de ejemplo (areas)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Figura.java, subclases,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Sobrescritura de area()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 las 3 subclases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de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Arreglo polimórfico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Bucle único con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