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2 · Clases, objetos y el modelo de referencias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Declarar una clase con atributos y métodos, usando this.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Instanciar varios objetos con estado independiente.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Evidenciar y explicar el aliasing de referencias.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Libro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atributos </w:t>
      </w:r>
      <w:r>
        <w:rPr>
          <w:rFonts w:ascii="Consolas" w:hAnsi="Consolas" w:cs="Consolas"/>
          <w:color w:val="000000"/>
          <w:sz w:val="22"/>
          <w:szCs w:val="22"/>
        </w:rPr>
        <w:t xml:space="preserve">titulo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autor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paginas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métodos: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imprime los datos.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esLargo()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devuelve </w:t>
      </w:r>
      <w:r>
        <w:rPr>
          <w:rFonts w:ascii="Consolas" w:hAnsi="Consolas" w:cs="Consolas"/>
          <w:color w:val="000000"/>
          <w:sz w:val="22"/>
          <w:szCs w:val="22"/>
        </w:rPr>
        <w:t xml:space="preserve">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</w:t>
      </w:r>
      <w:r>
        <w:rPr>
          <w:rFonts w:ascii="Consolas" w:hAnsi="Consolas" w:cs="Consolas"/>
          <w:color w:val="000000"/>
          <w:sz w:val="22"/>
          <w:szCs w:val="22"/>
        </w:rPr>
        <w:t xml:space="preserve">paginas &gt; 300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libros distintos, descríbelos e indica cuáles son largos (evidencia el estado independiente de cada objeto).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Demostración de aliasing: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asigna uno de los libros a una segunda variable (</w:t>
      </w:r>
      <w:r>
        <w:rPr>
          <w:rFonts w:ascii="Consolas" w:hAnsi="Consolas" w:cs="Consolas"/>
          <w:color w:val="000000"/>
          <w:sz w:val="22"/>
          <w:szCs w:val="22"/>
        </w:rPr>
        <w:t xml:space="preserve">Libro otro = libro1;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modifica el título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la segunda variable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muestra que el primero "ve" el cambio. Explica en el README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qué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ocurre.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Provoca (y luego previene con </w:t>
      </w:r>
      <w:r>
        <w:rPr>
          <w:rFonts w:ascii="Consolas" w:hAnsi="Consolas" w:cs="Consolas"/>
          <w:color w:val="000000"/>
          <w:sz w:val="22"/>
          <w:szCs w:val="22"/>
        </w:rPr>
        <w:t xml:space="preserve">if != 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un </w:t>
      </w:r>
      <w:r>
        <w:rPr>
          <w:rFonts w:ascii="Consolas" w:hAnsi="Consolas" w:cs="Consolas"/>
          <w:color w:val="000000"/>
          <w:sz w:val="22"/>
          <w:szCs w:val="22"/>
        </w:rPr>
        <w:t xml:space="preserve">NullPointerException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una referencia </w:t>
      </w:r>
      <w:r>
        <w:rPr>
          <w:rFonts w:ascii="Consolas" w:hAnsi="Consolas" w:cs="Consolas"/>
          <w:color w:val="000000"/>
          <w:sz w:val="22"/>
          <w:szCs w:val="22"/>
        </w:rPr>
        <w:t xml:space="preserve">Libro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Documenta ambos casos.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this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de convenciones de nombres.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Tres objetos con estado propio.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Aliasing demostrado y explicado.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Manejo del caso </w:t>
      </w:r>
      <w:r>
        <w:rPr>
          <w:rFonts w:ascii="Consolas" w:hAnsi="Consolas" w:cs="Consolas"/>
          <w:color w:val="000000"/>
          <w:sz w:val="22"/>
          <w:szCs w:val="22"/>
        </w:rPr>
        <w:t xml:space="preserve">null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poo-s02-clases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poo-s02-clases/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salida + explicacion del aliasing y del null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Libro.java,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Libro (atributos, métodos, this)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y clara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Tres objetos con estado propio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evidenciado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Aliasing demostrado y explicado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Manejo de null (provocar + prevenir)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Ambos casos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