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5 · Guía de repaso del Corte 1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5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Repasar clases, objetos, encapsulamiento y constructores.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Diseñar una clase completa y bien encapsulada.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Autoevaluar la preparación para el parcial.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Diseña e implementa una clase a tu elección (p. ej.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Vehiculo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Producto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que cumpla: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Atributos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privados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(mínimo 3).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Dos constructores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(vacío y parametrizado con </w:t>
      </w:r>
      <w:r>
        <w:rPr>
          <w:rFonts w:ascii="Consolas" w:hAnsi="Consolas" w:cs="Consolas"/>
          <w:color w:val="000000"/>
          <w:sz w:val="22"/>
          <w:szCs w:val="22"/>
        </w:rPr>
        <w:t xml:space="preserve">this()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Getters y al menos 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setter con validación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Consolas" w:hAnsi="Consolas" w:cs="Consolas"/>
          <w:color w:val="000000"/>
          <w:sz w:val="22"/>
          <w:szCs w:val="22"/>
        </w:rPr>
        <w:t xml:space="preserve">toString()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sobrescrito.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cree 3 objetos, los use y los imprima.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Encapsulamiento correcto.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Validación en al menos un setter.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Salida legible con toString.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poo-s05-repaso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poo-s05-repaso/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descripcion + salida de ejemplo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tu clase +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Encapsulamiento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Constructores (con this())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Validación + toString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main y casos de uso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de entrega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