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2 · Clases, objetos y el modelo de referencias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Declarar una clase con atributos y métodos, usando this.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Instanciar varios objetos con estado independiente.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Evidenciar y explicar el aliasing de referencias.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Libro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atributos </w:t>
      </w:r>
      <w:r>
        <w:rPr>
          <w:rFonts w:ascii="Consolas" w:hAnsi="Consolas" w:cs="Consolas"/>
          <w:color w:val="000000"/>
          <w:sz w:val="22"/>
          <w:szCs w:val="22"/>
        </w:rPr>
        <w:t xml:space="preserve">titulo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autor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paginas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métodos: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describir()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— imprime los datos.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esLargo()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— devuelve </w:t>
      </w:r>
      <w:r>
        <w:rPr>
          <w:rFonts w:ascii="Consolas" w:hAnsi="Consolas" w:cs="Consolas"/>
          <w:color w:val="000000"/>
          <w:sz w:val="22"/>
          <w:szCs w:val="22"/>
        </w:rPr>
        <w:t xml:space="preserve">true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</w:t>
      </w:r>
      <w:r>
        <w:rPr>
          <w:rFonts w:ascii="Consolas" w:hAnsi="Consolas" w:cs="Consolas"/>
          <w:color w:val="000000"/>
          <w:sz w:val="22"/>
          <w:szCs w:val="22"/>
        </w:rPr>
        <w:t xml:space="preserve">paginas &gt; 300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crea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libros distintos, descríbelos e indica cuáles son largos (evidencia el estado independiente de cada objeto).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Demostración de aliasing: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asigna uno de los libros a una segunda variable (</w:t>
      </w:r>
      <w:r>
        <w:rPr>
          <w:rFonts w:ascii="Consolas" w:hAnsi="Consolas" w:cs="Consolas"/>
          <w:color w:val="000000"/>
          <w:sz w:val="22"/>
          <w:szCs w:val="22"/>
        </w:rPr>
        <w:t xml:space="preserve">Libro otro = libro1;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), modifica el título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la segunda variable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muestra que el primero "ve" el cambio. Explica en el README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qué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ocurre.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Provoca (y luego previene con </w:t>
      </w:r>
      <w:r>
        <w:rPr>
          <w:rFonts w:ascii="Consolas" w:hAnsi="Consolas" w:cs="Consolas"/>
          <w:color w:val="000000"/>
          <w:sz w:val="22"/>
          <w:szCs w:val="22"/>
        </w:rPr>
        <w:t xml:space="preserve">if != null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un </w:t>
      </w:r>
      <w:r>
        <w:rPr>
          <w:rFonts w:ascii="Consolas" w:hAnsi="Consolas" w:cs="Consolas"/>
          <w:color w:val="000000"/>
          <w:sz w:val="22"/>
          <w:szCs w:val="22"/>
        </w:rPr>
        <w:t xml:space="preserve">NullPointerException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una referencia </w:t>
      </w:r>
      <w:r>
        <w:rPr>
          <w:rFonts w:ascii="Consolas" w:hAnsi="Consolas" w:cs="Consolas"/>
          <w:color w:val="000000"/>
          <w:sz w:val="22"/>
          <w:szCs w:val="22"/>
        </w:rPr>
        <w:t xml:space="preserve">Libro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null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Documenta ambos casos.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correcto de </w:t>
      </w:r>
      <w:r>
        <w:rPr>
          <w:rFonts w:ascii="Consolas" w:hAnsi="Consolas" w:cs="Consolas"/>
          <w:color w:val="000000"/>
          <w:sz w:val="22"/>
          <w:szCs w:val="22"/>
        </w:rPr>
        <w:t xml:space="preserve">this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de convenciones de nombres.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Tres objetos con estado propio.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Aliasing demostrado y explicado.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Manejo del caso </w:t>
      </w:r>
      <w:r>
        <w:rPr>
          <w:rFonts w:ascii="Consolas" w:hAnsi="Consolas" w:cs="Consolas"/>
          <w:color w:val="000000"/>
          <w:sz w:val="22"/>
          <w:szCs w:val="22"/>
        </w:rPr>
        <w:t xml:space="preserve">null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`02-week/`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02"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Clase Libro (atributos, métodos, this)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y clara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Tres objetos con estado propio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evidenciado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Aliasing demostrado y explicado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Manejo de null (provocar + prevenir)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Ambos casos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