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6 · Jerarquía de clases con herencia y super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6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una jerarquía con el criterio de sustitución (es-un).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la cadena de constructores con super(...).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Ampliar comportamiento heredado con super.metodo().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Verificar el orden de construcción con una traza.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Contexto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empresa gestiona empleados de distintos tipos. Todos comparten datos y comportamiento comunes, pero cada tipo añade lo suyo. Es un caso natural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generalización–especialización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Diseño (antes de codificar).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Define la superclase </w:t>
      </w:r>
      <w:r>
        <w:rPr>
          <w:rFonts w:ascii="Consolas" w:hAnsi="Consolas" w:cs="Consolas"/>
          <w:color w:val="000000"/>
          <w:sz w:val="22"/>
          <w:szCs w:val="22"/>
        </w:rPr>
        <w:t xml:space="preserve">Empleado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(atributos comunes: 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salarioBase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método </w:t>
      </w:r>
      <w:r>
        <w:rPr>
          <w:rFonts w:ascii="Consolas" w:hAnsi="Consolas" w:cs="Consolas"/>
          <w:color w:val="000000"/>
          <w:sz w:val="22"/>
          <w:szCs w:val="22"/>
        </w:rPr>
        <w:t xml:space="preserve">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al menos 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subclases: </w:t>
      </w:r>
      <w:r>
        <w:rPr>
          <w:rFonts w:ascii="Consolas" w:hAnsi="Consolas" w:cs="Consolas"/>
          <w:color w:val="000000"/>
          <w:sz w:val="22"/>
          <w:szCs w:val="22"/>
        </w:rPr>
        <w:t xml:space="preserve">Gerente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(agrega </w:t>
      </w:r>
      <w:r>
        <w:rPr>
          <w:rFonts w:ascii="Consolas" w:hAnsi="Consolas" w:cs="Consolas"/>
          <w:color w:val="000000"/>
          <w:sz w:val="22"/>
          <w:szCs w:val="22"/>
        </w:rPr>
        <w:t xml:space="preserve">bono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</w:t>
      </w:r>
      <w:r>
        <w:rPr>
          <w:rFonts w:ascii="Consolas" w:hAnsi="Consolas" w:cs="Consolas"/>
          <w:color w:val="000000"/>
          <w:sz w:val="22"/>
          <w:szCs w:val="22"/>
        </w:rPr>
        <w:t xml:space="preserve">Desarrollador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(agrega </w:t>
      </w:r>
      <w:r>
        <w:rPr>
          <w:rFonts w:ascii="Consolas" w:hAnsi="Consolas" w:cs="Consolas"/>
          <w:color w:val="000000"/>
          <w:sz w:val="22"/>
          <w:szCs w:val="22"/>
        </w:rPr>
        <w:t xml:space="preserve">lenguaje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 En el README,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justifica con el criterio es-un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qué cada subclase hereda de </w:t>
      </w:r>
      <w:r>
        <w:rPr>
          <w:rFonts w:ascii="Consolas" w:hAnsi="Consolas" w:cs="Consolas"/>
          <w:color w:val="000000"/>
          <w:sz w:val="22"/>
          <w:szCs w:val="22"/>
        </w:rPr>
        <w:t xml:space="preserve">Empleado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Constructores encadenados.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Cada subclase debe usar </w:t>
      </w:r>
      <w:r>
        <w:rPr>
          <w:rFonts w:ascii="Consolas" w:hAnsi="Consolas" w:cs="Consolas"/>
          <w:color w:val="000000"/>
          <w:sz w:val="22"/>
          <w:szCs w:val="22"/>
        </w:rPr>
        <w:t xml:space="preserve">super(...)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inicializar la parte </w:t>
      </w:r>
      <w:r>
        <w:rPr>
          <w:rFonts w:ascii="Consolas" w:hAnsi="Consolas" w:cs="Consolas"/>
          <w:color w:val="000000"/>
          <w:sz w:val="22"/>
          <w:szCs w:val="22"/>
        </w:rPr>
        <w:t xml:space="preserve">Empleado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Agrega un </w:t>
      </w:r>
      <w:r>
        <w:rPr>
          <w:rFonts w:ascii="Consolas" w:hAnsi="Consolas" w:cs="Consolas"/>
          <w:color w:val="000000"/>
          <w:sz w:val="22"/>
          <w:szCs w:val="22"/>
        </w:rPr>
        <w:t xml:space="preserve">System.out.println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constructor para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trazar el orden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construcción.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Ampliar comportamiento.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Sobrescribe </w:t>
      </w:r>
      <w:r>
        <w:rPr>
          <w:rFonts w:ascii="Consolas" w:hAnsi="Consolas" w:cs="Consolas"/>
          <w:color w:val="000000"/>
          <w:sz w:val="22"/>
          <w:szCs w:val="22"/>
        </w:rPr>
        <w:t xml:space="preserve">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subclase usando </w:t>
      </w:r>
      <w:r>
        <w:rPr>
          <w:rFonts w:ascii="Consolas" w:hAnsi="Consolas" w:cs="Consolas"/>
          <w:color w:val="000000"/>
          <w:sz w:val="22"/>
          <w:szCs w:val="22"/>
        </w:rPr>
        <w:t xml:space="preserve">super.ficha()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reutilizar la información base y añadir la específica.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Cálculo propio.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Agrega </w:t>
      </w:r>
      <w:r>
        <w:rPr>
          <w:rFonts w:ascii="Consolas" w:hAnsi="Consolas" w:cs="Consolas"/>
          <w:color w:val="000000"/>
          <w:sz w:val="22"/>
          <w:szCs w:val="22"/>
        </w:rPr>
        <w:t xml:space="preserve">salarioTotal()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en </w:t>
      </w:r>
      <w:r>
        <w:rPr>
          <w:rFonts w:ascii="Consolas" w:hAnsi="Consolas" w:cs="Consolas"/>
          <w:color w:val="000000"/>
          <w:sz w:val="22"/>
          <w:szCs w:val="22"/>
        </w:rPr>
        <w:t xml:space="preserve">Gerente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suma el bono; en </w:t>
      </w:r>
      <w:r>
        <w:rPr>
          <w:rFonts w:ascii="Consolas" w:hAnsi="Consolas" w:cs="Consolas"/>
          <w:color w:val="000000"/>
          <w:sz w:val="22"/>
          <w:szCs w:val="22"/>
        </w:rPr>
        <w:t xml:space="preserve">Desarrollador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es el salario base.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Prueba.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crea un objeto de cada subclase, imprime su </w:t>
      </w:r>
      <w:r>
        <w:rPr>
          <w:rFonts w:ascii="Consolas" w:hAnsi="Consolas" w:cs="Consolas"/>
          <w:color w:val="000000"/>
          <w:sz w:val="22"/>
          <w:szCs w:val="22"/>
        </w:rPr>
        <w:t xml:space="preserve">ficha()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su </w:t>
      </w:r>
      <w:r>
        <w:rPr>
          <w:rFonts w:ascii="Consolas" w:hAnsi="Consolas" w:cs="Consolas"/>
          <w:color w:val="000000"/>
          <w:sz w:val="22"/>
          <w:szCs w:val="22"/>
        </w:rPr>
        <w:t xml:space="preserve">salarioTotal()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y muestra la traza del orden de construcción.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Requisitos técnicos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correcto de </w:t>
      </w:r>
      <w:r>
        <w:rPr>
          <w:rFonts w:ascii="Consolas" w:hAnsi="Consolas" w:cs="Consolas"/>
          <w:color w:val="000000"/>
          <w:sz w:val="22"/>
          <w:szCs w:val="22"/>
        </w:rPr>
        <w:t xml:space="preserve">extends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super(...)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(primera instrucción).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 menos un método que use </w:t>
      </w:r>
      <w:r>
        <w:rPr>
          <w:rFonts w:ascii="Consolas" w:hAnsi="Consolas" w:cs="Consolas"/>
          <w:color w:val="000000"/>
          <w:sz w:val="22"/>
          <w:szCs w:val="22"/>
        </w:rPr>
        <w:t xml:space="preserve">super.metodo()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Atributos con el acceso adecuado (</w:t>
      </w:r>
      <w:r>
        <w:rPr>
          <w:rFonts w:ascii="Consolas" w:hAnsi="Consolas" w:cs="Consolas"/>
          <w:color w:val="000000"/>
          <w:sz w:val="22"/>
          <w:szCs w:val="22"/>
        </w:rPr>
        <w:t xml:space="preserve">protected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private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justificado).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con: diagrama de la jerarquía, justificación es-un y la traza de construcción obtenida.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Reto opcional (+)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Agrega un tercer nivel (</w:t>
      </w:r>
      <w:r>
        <w:rPr>
          <w:rFonts w:ascii="Consolas" w:hAnsi="Consolas" w:cs="Consolas"/>
          <w:color w:val="000000"/>
          <w:sz w:val="22"/>
          <w:szCs w:val="22"/>
        </w:rPr>
        <w:t xml:space="preserve">GerenteRegional extends Gerente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observa/traza la cadena de tres constructores.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Marca algún método como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explica por qué no debería sobrescribirse.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`06-week/`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06"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Diseño y justificación es-un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Jerarquía correcta y bien justificada por sustitución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Justificación básica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justificar o relación incorrecta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Cadena de constructores (super)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en todas las subclases + traza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 o 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Ampliar con super.metodo()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ficha() reutiliza y amplía correctamente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salarioTotal() y pruebas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 y probados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Calidad de código y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Ordenado, diagrama y traza claros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