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9 · Diseño con composición y paquetes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9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Modelar una relación "tiene-un" con composición y delegación.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Organizar las clases en paquetes por responsabilidad.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Justificar la elección composición vs herencia.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Modela un </w:t>
      </w:r>
      <w:r>
        <w:rPr>
          <w:rFonts w:ascii="Consolas" w:hAnsi="Consolas" w:cs="Consolas"/>
          <w:color w:val="000000"/>
          <w:sz w:val="22"/>
          <w:szCs w:val="22"/>
        </w:rPr>
        <w:t xml:space="preserve">Pedido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tiene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una lista de </w:t>
      </w:r>
      <w:r>
        <w:rPr>
          <w:rFonts w:ascii="Consolas" w:hAnsi="Consolas" w:cs="Consolas"/>
          <w:color w:val="000000"/>
          <w:sz w:val="22"/>
          <w:szCs w:val="22"/>
        </w:rPr>
        <w:t xml:space="preserve">Producto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(composición) en el paquete </w:t>
      </w:r>
      <w:r>
        <w:rPr>
          <w:rFonts w:ascii="Consolas" w:hAnsi="Consolas" w:cs="Consolas"/>
          <w:color w:val="000000"/>
          <w:sz w:val="22"/>
          <w:szCs w:val="22"/>
        </w:rPr>
        <w:t xml:space="preserve">modelo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 </w:t>
      </w:r>
      <w:r>
        <w:rPr>
          <w:rFonts w:ascii="Consolas" w:hAnsi="Consolas" w:cs="Consolas"/>
          <w:color w:val="000000"/>
          <w:sz w:val="22"/>
          <w:szCs w:val="22"/>
        </w:rPr>
        <w:t xml:space="preserve">agregar(Producto)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total()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delegando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precio a cada </w:t>
      </w:r>
      <w:r>
        <w:rPr>
          <w:rFonts w:ascii="Consolas" w:hAnsi="Consolas" w:cs="Consolas"/>
          <w:color w:val="000000"/>
          <w:sz w:val="22"/>
          <w:szCs w:val="22"/>
        </w:rPr>
        <w:t xml:space="preserve">Producto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</w:t>
      </w:r>
      <w:r>
        <w:rPr>
          <w:rFonts w:ascii="Consolas" w:hAnsi="Consolas" w:cs="Consolas"/>
          <w:color w:val="000000"/>
          <w:sz w:val="22"/>
          <w:szCs w:val="22"/>
        </w:rPr>
        <w:t xml:space="preserve">PedidoService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(paquete </w:t>
      </w:r>
      <w:r>
        <w:rPr>
          <w:rFonts w:ascii="Consolas" w:hAnsi="Consolas" w:cs="Consolas"/>
          <w:color w:val="000000"/>
          <w:sz w:val="22"/>
          <w:szCs w:val="22"/>
        </w:rPr>
        <w:t xml:space="preserve">servicio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que aplique un descuento y calcule el total final (lógica de negocio separada del modelo).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(paquete </w:t>
      </w:r>
      <w:r>
        <w:rPr>
          <w:rFonts w:ascii="Consolas" w:hAnsi="Consolas" w:cs="Consolas"/>
          <w:color w:val="000000"/>
          <w:sz w:val="22"/>
          <w:szCs w:val="22"/>
        </w:rPr>
        <w:t xml:space="preserve">app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 crea un pedido con 3 productos y usa el servicio.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el README: justifica por qué usaste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composición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(no herencia) y dónde lograste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alta cohesión / bajo acoplamiento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Composición (Pedido contiene Productos) + delegación.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Organización en paquetes </w:t>
      </w:r>
      <w:r>
        <w:rPr>
          <w:rFonts w:ascii="Consolas" w:hAnsi="Consolas" w:cs="Consolas"/>
          <w:color w:val="000000"/>
          <w:sz w:val="22"/>
          <w:szCs w:val="22"/>
        </w:rPr>
        <w:t xml:space="preserve">modelo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servicio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app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Separación de responsabilidades (modelo vs lógica).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Justificación de diseño en el README.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`09-week/`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09"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Composición + delegación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Organización en paquetes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 y coherente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Cohesión / acoplamiento (separación)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Bien lograda y explicada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total() con descuento +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y 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