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4 · Clase con constructores, toString e igualdad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Definir constructores (por defecto y parametrizado) con this() y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Sobrescribir toString.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equals y hashCode respetando su contrato.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atributos privados: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(solo lectura,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), 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precio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stock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Constructores: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uno completo (con validación </w:t>
      </w:r>
      <w:r>
        <w:rPr>
          <w:rFonts w:ascii="Consolas" w:hAnsi="Consolas" w:cs="Consolas"/>
          <w:color w:val="000000"/>
          <w:sz w:val="22"/>
          <w:szCs w:val="22"/>
        </w:rPr>
        <w:t xml:space="preserve">precio &gt;=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stock &gt;= 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uno que reciba solo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nombre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delegue con `this()`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el completo (precio y stock en 0).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Consolas" w:hAnsi="Consolas" w:cs="Consolas"/>
          <w:color w:val="000000"/>
          <w:sz w:val="22"/>
          <w:szCs w:val="22"/>
        </w:rPr>
        <w:t xml:space="preserve">toString()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una salida legible.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`codigo`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(dos productos con el mismo código son "iguales").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crea productos, imprímelos, compara dos con el mismo código (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→ </w:t>
      </w:r>
      <w:r>
        <w:rPr>
          <w:rFonts w:ascii="Consolas" w:hAnsi="Consolas" w:cs="Consolas"/>
          <w:color w:val="000000"/>
          <w:sz w:val="22"/>
          <w:szCs w:val="22"/>
        </w:rPr>
        <w:t xml:space="preserve">true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y agrégalos a un </w:t>
      </w:r>
      <w:r>
        <w:rPr>
          <w:rFonts w:ascii="Consolas" w:hAnsi="Consolas" w:cs="Consolas"/>
          <w:color w:val="000000"/>
          <w:sz w:val="22"/>
          <w:szCs w:val="22"/>
        </w:rPr>
        <w:t xml:space="preserve">HashSet&lt;Producto&gt;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evidenciar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se duplican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Encapsulamiento + </w:t>
      </w:r>
      <w:r>
        <w:rPr>
          <w:rFonts w:ascii="Consolas" w:hAnsi="Consolas" w:cs="Consolas"/>
          <w:color w:val="000000"/>
          <w:sz w:val="22"/>
          <w:szCs w:val="22"/>
        </w:rPr>
        <w:t xml:space="preserve">final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this()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entre constructores +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coherentes (mismos campos), con 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Prueba con </w:t>
      </w:r>
      <w:r>
        <w:rPr>
          <w:rFonts w:ascii="Consolas" w:hAnsi="Consolas" w:cs="Consolas"/>
          <w:color w:val="000000"/>
          <w:sz w:val="22"/>
          <w:szCs w:val="22"/>
        </w:rPr>
        <w:t xml:space="preserve">HashSet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poo-s04-constructores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poo-s04-constructores/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salida + demostracion de equals/HashSet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Producto.java,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Constructores (this() + validación)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Encapsulamiento + codigo final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toString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con @Override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equals + hashCode (contrato)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Coherentes y probados con HashSet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 o sin probar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