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DEL PROYECTO DE AULA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Diseño y Patrones Arquitectónicos · Unidad 1–3 · Guía del proyecto de aula — un reto, cuatro hitos y el informe FO-IV-159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Facultad de Ingeniería · Posgrado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Diseño y Patrones Arquitectónicos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Proyecto de aula · Entrega final del módulo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1–3 · Corte único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Equipos de 2 o 3 integrantes (A1 y foro, individuales)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Guía del proyecto de aula (el informe se califica dentro de la Actividad 3)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Aula Moodle, en cada actividad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Elegir con tu equipo un reto del catálogo y delimitar su alcance.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Entender qué produce cada hito y cómo alimenta al siguiente.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Diligenciar el Informe de Proyectos de Aula (FO-IV-159) campo por campo.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Preparar los anexos y la sustentación con criterios conocidos de antemano.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Qué es el proyecto de aula y por qué existe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curso se organiza como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proyecto de aula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un problema real que el equipo resuelve por etapas y que al final se reporta en el formato institucional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FO-IV-159 · Informe de Proyectos de Aula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(Gestión de Investigación e Innovación). Ninguna actividad del aula cambia: cambia la forma de leerlas. Las cuatro evaluaciones trabajan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sobre el mismo sistema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el del reto que elige tu equipo.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Actividad del aula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 que pide su enunciado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Lo que es dentro del proyecto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Informe técnico: fundamentos, clasificación de patrones y análisis de al menos tres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Diagnóstico arquitectónico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Taller: problema realista, diseño UML, prototipo (MVP) en un repositorio y análisis de decisiones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Versión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 sistema con un patrón clásico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Foro de la Unidad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(20 %)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de mínimo 200 palabras comparando patrones modernos y dos réplicas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Decisión de migración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a qué patrón moderno pasar la 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Actividad 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(40 %)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Proyecto final: definición, arquitectura, desarrollo y evaluación, con documento técnico, prototipo, repositorio y presentación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Versión 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un patrón moderno,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informe FO-IV-159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sus anexos y sustentación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Los enunciados oficiales están en el aula Moodle y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mandan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Esta guía no los reemplaza: te muestra cómo encadenarlos para que el trabajo de una actividad sirva en la siguiente y termine en el informe del proyecto de aula.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¿Por qué hacerlo así? Porque la pregunta difícil de la Actividad 3 —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«compara tu patrón con otras alternativas»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— solo tiene buena respuesta si existe la alternativa. En este proyecto existe: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propia versión 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La comparación deja de ser opinión y pasa a ser evidencia.</w:t>
      </w:r>
    </w:p>
    <w:p>
      <w:pPr>
        <w:spacing w:after="80" w:line="276" w:lineRule="auto"/>
      </w:pP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H0 equipo + reto ──▶ H1 diagnóstico ──▶ H2 v1 clásica ──▶ H3 decisión ──▶ H4 v2 + FO-IV-159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(13-oct)          A1 · 18-oct        A2 · 25-oct      Foro · 1-nov     A3 · 8-nov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                               │                              │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                                                └──── se compara contra ───────┘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Calendario y encuentros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curso va del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lunes 5 de octubre al domingo 8 de noviembre de 2026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Los encuentros sincrónicos son los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martes de 8:20 a 9:10 p. m.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por Google Meet ([meet.google.com/pzh-kxer-pnx](https://meet.google.com/pzh-kxer-pnx)).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se trabaja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traes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6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+ lanzamiento del proyecto de aula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Preguntas sobre el catálogo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13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2: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Equipo y reto definidos (H0)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20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3: patrones modernos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 en construcción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27 de octubre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Asesoría del proyecto de aula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Avance de la v2 y borrador del FO-IV-159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3 de noviembre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Sustentación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presentación final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Los hitos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entregas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Dónde se entrega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Vence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H0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Integrantes, reto elegido y título provisional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Mensaje al tutor por el aula, antes del encuentro 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Martes 13 de octubre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Informe de diagnóstico arquitectónico del reto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18 de octubre,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v1: documento, UML, MVP y enlace al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25 de octubre,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y réplicas sobre el patrón moderno al que migrar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Foro de la Unidad 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Domingo 1 de noviembre, 11:59 p. m.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+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informe FO-IV-159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anexos (documento técnico, repositorio, capturas) + sustentación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Actividad 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Equipo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Sustentación martes 3 de noviembre · entrega domingo 8 de noviembre, 11:59 p. m.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3.1 Qué produce cada hito y para qué sirve después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H1 → H2.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diagnóstico identifica los atributos de calidad que mandan en tu reto y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descarta patrones con argumentos. La v1 implementa el patrón clásico que mejor salió parado. Cada integrante escribe su propio informe sobre el reto del equipo.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H2 → H3.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v1 hace visibles sus límites: dónde duele el acoplamiento, qué no escala,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qué cuesta cambiar. Esos límites son el material del foro.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H3 → H4.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foro obliga a defender la migración frente a compañeros que critican.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v2 implementa la decisión que resistió la crítica.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H4.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v2 se compara contra la v1 con criterios medibles, y el FO-IV-159 cuenta 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proyecto completo con sus evidencias.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Tip: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Marca la v1 en el repositorio con una etiqueta de git (</w:t>
      </w:r>
      <w:r>
        <w:rPr>
          <w:rFonts w:ascii="Consolas" w:hAnsi="Consolas" w:cs="Consolas"/>
          <w:color w:val="000000"/>
          <w:sz w:val="21"/>
          <w:szCs w:val="21"/>
        </w:rPr>
        <w:t xml:space="preserve">git tag v1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</w:t>
      </w:r>
      <w:r>
        <w:rPr>
          <w:rFonts w:ascii="Consolas" w:hAnsi="Consolas" w:cs="Consolas"/>
          <w:color w:val="000000"/>
          <w:sz w:val="21"/>
          <w:szCs w:val="21"/>
        </w:rPr>
        <w:t xml:space="preserve">git push --tags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) antes de empezar la v2. Así la comparación es reproducible: cualquiera puede ejecutar las dos versiones.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El informe FO-IV-159, campo por campo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FO-IV-159 · Informe de Proyectos de Aula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es una hoja de cálculo con tres pestañas: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INFORME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(los campos del proyecto),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ESTUDIANTE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(los integrantes)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PRODUCTOS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(el catálogo de productos aceptados). Cada equipo diligencia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En la columna de la derecha de cada campo el formato trae su instrucción: reemplázala por tu texto.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4.1 Información general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Campo del FO-IV-159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escribes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Sale del hito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Título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Breve y preciso; responde qué, cómo, cuándo, dónde y con quién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H0, se ajusta al final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Resumen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Problema, cómo lo resolvieron, por qué y con qué herramientas.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Máximo 800 caracteres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H4: se escribe de último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Área de Conocimiento del Programa Académico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Ingeniería, arquitectura, urbanismo y afines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Fecha de inicio / Fecha de cierre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05/10/2026 y 08/11/2026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Facultad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Facultad de Ingeniería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Programa Académico y Semestre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programa de posgrado y el semestre que cursan los integrantes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Número de estudiantes participantes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Los integrantes del equipo (2 o 3)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H0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4.2 Contexto del proyecto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Campo del FO-IV-159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escribes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Sale del hito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Planteamiento del problema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 lo general a lo específico (mundial, nacional, regional), con datos de fuentes primarias (DANE, secretarías, artículos científicos) citadas en APA 7. Sin juicios de valor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Reto + H1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Pregunta de investigación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problema en forma de pregunta, coherente con el título. Que no se responda con sí o no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H0–H1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Justificación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Relación con las prioridades de la región y del país, resultados esperados, cómo se socializan y quiénes se benefician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+ H3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Ejemplo con el reto de demostración (Mercado Campesino):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«¿En qué medida migrar el sistema de pedidos de una asociación de productores de Neiva de una arquitectura en capas a una arquitectura hexagonal con eventos cambia su modificabilidad y su disponibilidad en el día de cierre de pedidos?»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4.3 Objetivos y metodología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Campo del FO-IV-159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escribes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Sale del hito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Objetivo General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 verbo en infinitivo; qué, cómo y para qué; medible (verbos de la taxonomía de Bloom)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H0–H1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Objetivos específicos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Las metas de cada etapa, en secuencia y medibles. No son actividades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Los hitos H1 a H4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Metodología implementada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Metodología: Aprendizaje Basado en Proyectos (ABP) con aprendizaje cooperativo, organizado en los hitos H0 a H4 de esta guía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forma natural de los objetivos específicos es seguir los hitos: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diagnosticar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los atributos de calidad del reto (H1);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diseñar e implementar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v1 con un patrón clásico (H2);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evaluar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alternativas modernas y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seleccionar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una (H3);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implementar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v2 y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comparar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ambas versiones con métricas (H4).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4.4 Resultados, productos y anexos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Campo del FO-IV-159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escribes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Sale del hito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Resultados del proyecto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Logros concretos (v1 y v2 funcionando), la comparación medida, el impacto en el aprendizaje (estudiantes, porcentaje de ejecución) y las habilidades desarrolladas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H2–H4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Del catálogo de la pestaña PRODUCTOS: «Desarrollo de software» (la v1 y la v2), «Reporte de investigación» (el documento técnico) y «Exposición de productos» (la sustentación)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Anexo 1. Fotografías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Capturas de la v1 y de la v2 funcionando, del repositorio y de la sustentación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H2–H4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Anexo 2. Productos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documento técnico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(plantilla de esta guía), el enlace al repositorio con las etiquetas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y la presentación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Bibliografía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Normas APA vigentes o IEEE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Todos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4.5 La pestaña ESTUDIANTE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fila por integrante: institución, facultad, programa académico, semestre, nombre y apellidos, e identificación.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La pestaña ESTUDIANTE lleva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números de identificación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El FO-IV-159 se entrega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solo en el aula Moodle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: no lo subas al repositorio, que puede ser público.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Catálogo de retos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equipo 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Todos están situados en el Huila y tienen una versión 1 natural con un patrón clásico y al menos dos caminos modernos defendibles. Los requisitos son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mínimo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puedes ampliarlos, no recortarlos.</w:t>
      </w:r>
    </w:p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Cuidado: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Mercado Campesino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(pedidos y entregas de una asociación de productores) es el reto de demostración que resuelven los manuales paso a paso.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 se puede elegir.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1 · TrazaCafé — trazabilidad de café especial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cooperativa recibe lotes de café de pequeños productores, los clasifica, los somete a catación y los agrupa en despachos para exportadores. Los compradores internacionales exigen saber de qué finca viene cada saco.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Productor, técnico de acopio, catador, exportador, comprador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Registrar productor y finca con ubicación · registrar ingreso de lote (peso, humedad, variedad, proceso) · registrar la catación con su puntaje · agrupar lotes en un despacho · consultar la historia de un lote por su código · reporte por finca y por cosecha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Trazabilidad y auditabilidad, integridad de los datos, operación con conectividad limitada en el punto de acopio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(o pipes &amp; filters para el flujo de beneficio del lote)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(cada cambio de estado del lote es un evento),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CQRS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(consulta pública del lote separada del registro)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2 · RutaSur — reservas de turismo regional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Operadores de San Agustín, Isnos y el Desierto de la Tatacoa venden experiencias (recorridos arqueológicos, observación astronómica, transporte, hospedaje) con cupos limitados. En temporada alta la demanda se multiplica y nadie puede sobrevender un cupo.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Turista, operador turístico, guía, aliado de hospedaje, administrador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Catálogo de experiencias · disponibilidad por fecha y cupo · reserva con bloqueo temporal del cupo · pago simulado · confirmación con comprobante · calificación después de la visita · panel del operador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Escalabilidad en temporada alta, consistencia de cupos (cero sobreventa), disponibilidad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sobre una arquitectura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en capas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(catálogo, reservas, pagos, notificaciones) coordinados por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serverless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para notificaciones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3 · AquaBetania — monitoreo de estanques piscícolas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Piscicultores de tilapia en el embalse de Betania instalan sensores en sus jaulas. Si el oxígeno disuelto cae de noche y nadie se entera, se pierde la producción en horas.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Piscicultor, técnico, sensor (dispositivo), comprador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Registrar jaulas o estanques · recibir lecturas periódicas (oxígeno, temperatura, pH) · alertas por umbral · bitácora de alimentación · histórico con gráficas · reporte de mortalidad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Latencia de las alertas, volumen de ingesta, tolerancia a fallos de conectividad, costo de operación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Pipes &amp; filters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(ingesta → limpieza → evaluación de umbral → almacenamiento) o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cliente-servidor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serverless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(una función por lectura o por alerta),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cloud-native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4 · CitaSalud — agendamiento en una red regional de IPS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red de IPS con sedes en Neiva, Pitalito, Garzón y La Plata agenda citas por web y por call center. Hoy hay doble asignación de citas y nadie confía en la lista de espera.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Paciente, agente de call center, profesional de la salud, coordinador de sede, servicio externo de validación de derechos (simulado)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Consultar agenda por especialidad y sede · asignar, reprogramar y cancelar cita · lista de espera · recordatorios · validar derechos del afiliado contra el servicio externo · reporte de inasistencia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Consistencia (cero doble asignación), disponibilidad, seguridad y privacidad (datos de salud = datos sensibles, Ley 1581 de 2012), integrabilidad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con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en la presentación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Hexagonal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(aislar el dominio de la integración externa),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CQRS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(consulta de agendas separada de la asignación),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Reto 5 · PQRS Ciudadana — peticiones de una alcaldía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Una alcaldía municipal recibe peticiones, quejas, reclamos y sugerencias por ventanilla y por web. La ley fija plazos de respuesta (Ley 1755 de 2015) y hoy se vencen sin que nadie lo note.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Ciudadano, radicador, dependencia responsable, jefe de control interno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Requisitos mínimos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Radicar la PQRS con número único · clasificarla y asignarla a una dependencia · semáforo de vencimiento según el plazo legal · responder y notificar al ciudadano · consultar el estado por radicado · reporte de oportunidad por dependencia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de calidad que mandan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Trazabilidad, cumplimiento de plazos, usabilidad para el ciudadano, disponibilidad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v1 sugerida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MVC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sobre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capas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v2 candidatas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Hexagonal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event-driven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(los vencimientos y asignaciones como eventos),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microservicios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(radicación, gestión, notificaciones)</w:t>
            </w:r>
          </w:p>
        </w:tc>
      </w:tr>
    </w:tbl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5.1 Reglas del catálogo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Si dos equipos eligen el mismo reto, cada uno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delimita un alcance distinto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(otra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cooperativa, otro tipo de experiencia, otra sede) y lo declara en el H0.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Puedes cambiar de reto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solo hasta el H0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(martes 13 de octubre).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Un reto propio fuera del catálogo se acepta si el tutor lo aprueba en el H0 y cumple lo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mismo que los del catálogo: actores, al menos seis requisitos, atributos de calidad explícitos, una v1 clásica natural y dos caminos modernos defendibles.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Equipos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2 o 3 integrantes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La Actividad 1 y el foro son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individuales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la Actividad 2 y la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Actividad 3,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(cada integrante sube la misma entrega en el aula).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Contribución visible.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Cada integrante hace commits con su propia cuenta en el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repositorio del equipo. El documento técnico declara qué hizo cada uno.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Repositorio.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Uno por equipo, con instrucciones para ejecutar la v1 y la v2.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Qué se entrega en la Actividad 3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cierre del proyecto de aula se califica dentro del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40 % de la Actividad 3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es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uno por equipo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El FO-IV-159 diligenciado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(.xlsx), con las pestañas INFORME y ESTUDIANTE completas.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 archivo .zip de anexos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como pide el formato: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Anexo 1. Fotografías: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capturas de la v1, de la v2 y de la sustentación.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Anexo 2. Productos: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documento técnico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(mínimo 2.000 palabras, Arial 12,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interlineado 1.5, márgenes de 2.5 cm, APA; Word o PDF), el enlace al repositorio y la presentación.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 [plantilla del documento técnico](plantilla/) trae su estructura (diagnóstico, v1, decisión de migración, v2, comparación y contribución por integrante) y el FO-IV-159 oficial.</w:t>
      </w:r>
    </w:p>
    <w:p>
      <w:pPr>
        <w:spacing w:after="80" w:line="276" w:lineRule="auto"/>
      </w:pPr>
    </w:p>
    <w:p>
      <w:pPr>
        <w:spacing w:before="120" w:after="60" w:line="276" w:lineRule="auto"/>
        <w:keepNext/>
      </w:pPr>
      <w:r>
        <w:rPr>
          <w:rFonts w:ascii="Times New Roman" w:hAnsi="Times New Roman" w:cs="Times New Roman"/>
          <w:b/>
          <w:color w:val="2C3E50"/>
          <w:sz w:val="24"/>
          <w:szCs w:val="24"/>
        </w:rPr>
        <w:t xml:space="preserve">7.1 Criterios medibles para la comparación v1 vs v2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al menos tres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mídelos en las dos versiones: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Costo de un cambio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Agrega la misma funcionalidad nueva a v1 y v2; cuenta archivos y líneas tocadas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Acoplamiento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Dependencias entre módulos (diagrama o herramienta de análisis)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Despliegue independiente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¿Se puede desplegar una parte sin las demás? Sí/no, con evidencia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Rendimiento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Tiempo de respuesta o rendimiento bajo la misma carga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Tolerancia a fallos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Qué pasa cuando un componente cae (prueba documentada)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Facilidad de prueba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Pruebas automatizadas posibles y cobertura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Rúbrica integradora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Los pesos son los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declaran los enunciados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las actividades (20 % · 20 % · 20 % · 40 %); aquí no se crea ninguna nota nueva. La tabla dice qué evidencia del proyecto responde a cada criterio de los enunciados.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 del enunciado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Evidencia esperada en el proyecto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Introducción: definición e importancia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qué la arquitectura decide el éxito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 tu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Patrones: definición, clasificación y comparación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Tabla clásicos vs modernos frente a los atributos de calidad del reto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Análisis práctico de al menos tres patrones clásicos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Tres candidatos para el reto, cada uno con un sistema real de referencia, beneficios y limitaciones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H1 · A1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Reflexión, fuentes y formato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fuentes académicas en APA; 1.500–2.000 palabras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Selección del problema y diseño UML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reto delimitado; diagramas de componentes, clases y secuencia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Prototipo (MVP) en repositorio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 ejecutable, con instrucciones y la etiqueta 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H2 · A2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Análisis de decisiones y reflexión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Por qué ese patrón clásico y qué límites ya se ven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H3 · Foro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Aporte comparativo y dos réplicas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patrón moderno al que migrar tu v1, con argumentos técnicos y de negocio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 · A3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Definición, arquitectura, desarrollo y evaluación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FO-IV-159 completo, v2 funcional y la comparación medida en el documento técnico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H4 · A3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y presentación final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profesional; sustentación del 3 de noviembre</w:t>
            </w:r>
          </w:p>
        </w:tc>
      </w:tr>
    </w:tbl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9. La sustentación (martes 3 de noviembre)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equipo tiene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8 minutos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5 de exposición y 3 de preguntas.</w:t>
      </w:r>
    </w:p>
    <w:p>
      <w:pPr>
        <w:spacing w:after="80" w:line="276" w:lineRule="auto"/>
      </w:pP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Tramo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Qué muestras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El problema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 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Reto, pregunta de investigación y el atributo de calidad que más pesa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v1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Patrón clásico y el límite que encontraron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decisión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Alternativas consideradas y por qué ganó la elegida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v2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 30 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Arquitectura y una demostración corta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 comparación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Las métricas v1 vs v2 y su conclusión</w:t>
            </w:r>
          </w:p>
        </w:tc>
      </w:tr>
    </w:tbl>
    <w:p>
      <w:pPr>
        <w:spacing w:after="80" w:line="276" w:lineRule="auto"/>
      </w:pP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Nota: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Si en los 50 minutos del encuentro no caben todos los equipos, los que queden graban un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video de 5 minutos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con la misma estructura y ponen el enlace en el Anexo 2. El tutor anuncia el orden al inicio del encuentro.</w:t>
      </w:r>
    </w:p>
    <w:p>
      <w:pPr>
        <w:spacing w:after="80" w:line="276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Preguntas típicas: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harían distinto si empezaran hoy?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parte de la v2 no justificaría su costo en un sistema más pequeño?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¿qué pasa si cae el componente X?</w:t>
      </w:r>
    </w:p>
    <w:p>
      <w:pPr>
        <w:spacing w:after="80" w:line="276" w:lineRule="auto"/>
      </w:pP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10. Errores comunes</w:t>
      </w:r>
    </w:p>
    <w:p>
      <w:pPr>
        <w:spacing w:after="80" w:line="276" w:lineRule="auto"/>
      </w:pP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Elegir el patrón moderno por moda.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«Microservicios porque es lo que usan las grandes» no es un argumento. El argumento sale de los atributos de calidad de tu reto y de los límites que mostró tu v1.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Comparar contra un sistema imaginario.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La comparación es contra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v1, que existe y se puede ejecutar. Si la v1 no corre, no hay comparación.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 FO-IV-159 con las instrucciones todavía puestas.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Cada campo trae su instrucción en la celda de la derecha: se reemplaza por el texto del equipo, no se deja.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Juicios de valor en el planteamiento.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El formato pide evitar «bueno», «malo», «mejor», «peor»: usa datos y fuentes.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Empezar la v2 borrando la v1.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Etiqueta la v1 en git antes de tocarla.</w:t>
      </w:r>
    </w:p>
    <w:p>
      <w:pPr>
        <w:spacing w:after="80" w:line="276" w:lineRule="auto"/>
      </w:pPr>
    </w:p>
    <w:p>
      <w:pPr>
        <w:spacing w:after="80" w:line="276" w:lineRule="auto"/>
      </w:pP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