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80" w:line="276" w:lineRule="auto"/>
        <w:jc w:val="center"/>
      </w:pPr>
      <w:r>
        <w:rPr>
          <w:rFonts w:ascii="Times New Roman" w:hAnsi="Times New Roman" w:cs="Times New Roman"/>
          <w:b/>
          <w:color w:val="005F60"/>
          <w:sz w:val="30"/>
          <w:szCs w:val="30"/>
        </w:rPr>
        <w:t xml:space="preserve">GUÍA DEL PROYECTO DE AULA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Diseño y Patrones Arquitectónicos · Unidad 1–3 · Guía del proyecto de aula — un reto, cuatro hitos y el informe FO-IV-159</w:t>
      </w:r>
    </w:p>
    <w:p>
      <w:pPr>
        <w:spacing w:after="80" w:line="276" w:lineRule="auto"/>
      </w:pP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Facultad de Ingeniería · Posgrado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Diseño y Patrones Arquitectónicos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Proyecto de aula · Entrega final del módulo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 / Corte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1–3 · Corte único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Modalidad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Equipos de 2 o 3 integrantes (A1 y foro, individuales)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Periodo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2026-B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Tipo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Guía del proyecto de aula (el informe se califica dentro de la Actividad 3)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Entrega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Aula Moodle, en cada actividad</w:t>
            </w:r>
          </w:p>
        </w:tc>
      </w:tr>
    </w:tbl>
    <w:p>
      <w:pPr>
        <w:spacing w:after="80" w:line="276" w:lineRule="auto"/>
      </w:pP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Objetivos</w:t>
      </w:r>
    </w:p>
    <w:p>
      <w:pPr>
        <w:spacing w:after="80" w:line="276" w:lineRule="auto"/>
      </w:pP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Elegir con tu equipo un reto del catálogo y delimitar su alcance.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Entender qué produce cada hito y cómo alimenta al siguiente.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Diligenciar el Informe de Proyectos de Aula (FO-IV-159) campo por campo.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Preparar los anexos y la sustentación con criterios conocidos de antemano.</w:t>
      </w:r>
    </w:p>
    <w:p>
      <w:pPr>
        <w:spacing w:after="80" w:line="276" w:lineRule="auto"/>
      </w:pP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1. Qué es el proyecto de aula y por qué existe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El curso se organiza como un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proyecto de aula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: un problema real que el equipo resuelve por etapas y que al final se reporta en el formato institucional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FO-IV-159 · Informe de Proyectos de Aula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(Gestión de Investigación e Innovación). Ninguna actividad del aula cambia: cambia la forma de leerlas. Las cuatro evaluaciones trabajan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sobre el mismo sistema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el del reto que elige tu equipo.</w:t>
      </w:r>
    </w:p>
    <w:p>
      <w:pPr>
        <w:spacing w:after="80" w:line="276" w:lineRule="auto"/>
      </w:pP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Actividad del aula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Lo que pide su enunciado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Lo que es dentro del proyecto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Actividad 1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(20 %)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Informe técnico: fundamentos, clasificación de patrones y análisis de al menos tres patrones clásicos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Diagnóstico arquitectónico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del reto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Actividad 2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(20 %)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Taller: problema realista, diseño UML, prototipo (MVP) en un repositorio y análisis de decisiones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Versión 1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del sistema con un patrón clásico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Foro de la Unidad 3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(20 %)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Aporte de mínimo 200 palabras comparando patrones modernos y dos réplicas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Decisión de migración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: a qué patrón moderno pasar la v1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Actividad 3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(40 %)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Proyecto final: definición, arquitectura, desarrollo y evaluación, con documento técnico, prototipo, repositorio y presentación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Versión 2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con un patrón moderno, 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informe FO-IV-159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con sus anexos y sustentación</w:t>
            </w:r>
          </w:p>
        </w:tc>
      </w:tr>
    </w:tbl>
    <w:p>
      <w:pPr>
        <w:spacing w:after="80" w:line="276" w:lineRule="auto"/>
      </w:pPr>
    </w:p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Nota: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 Los enunciados oficiales están en el aula Moodle y </w:t>
      </w: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mandan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. Esta guía no los reemplaza: te muestra cómo encadenarlos para que el trabajo de una actividad sirva en la siguiente y termine en el informe del proyecto de aula.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¿Por qué hacerlo así? Porque la pregunta difícil de la Actividad 3 —</w:t>
      </w:r>
      <w:r>
        <w:rPr>
          <w:rFonts w:ascii="Times New Roman" w:hAnsi="Times New Roman" w:cs="Times New Roman"/>
          <w:i/>
          <w:color w:val="000000"/>
          <w:sz w:val="22"/>
          <w:szCs w:val="22"/>
        </w:rPr>
        <w:t xml:space="preserve">«compara tu patrón con otras alternativas»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— solo tiene buena respuesta si existe la alternativa. En este proyecto existe: es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tu propia versión 1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 La comparación deja de ser opinión y pasa a ser evidencia.</w:t>
      </w:r>
    </w:p>
    <w:p>
      <w:pPr>
        <w:spacing w:after="80" w:line="276" w:lineRule="auto"/>
      </w:pP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H0 equipo + reto ──▶ H1 diagnóstico ──▶ H2 v1 clásica ──▶ H3 decisión ──▶ H4 v2 + FO-IV-159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    (13-oct)          A1 · 18-oct        A2 · 25-oct      Foro · 1-nov     A3 · 8-nov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                                              │                              │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                                              └──── se compara contra ───────┘</w:t>
      </w:r>
    </w:p>
    <w:p>
      <w:pPr>
        <w:spacing w:after="80" w:line="276" w:lineRule="auto"/>
      </w:pP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2. Calendario y encuentros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El curso va del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lunes 5 de octubre al domingo 8 de noviembre de 2026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 Los encuentros sincrónicos son los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martes de 8:20 a 9:10 p. m.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por Google Meet ([meet.google.com/pzh-kxer-pnx](https://meet.google.com/pzh-kxer-pnx)).</w:t>
      </w:r>
    </w:p>
    <w:p>
      <w:pPr>
        <w:spacing w:after="80" w:line="276" w:lineRule="auto"/>
      </w:pP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Fecha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Qué se trabaja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Qué traes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Martes 6 de octubre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 1 + lanzamiento del proyecto de aula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Preguntas sobre el catálogo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Martes 13 de octubre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 2: patrones clásicos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Equipo y reto definidos (H0)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Martes 20 de octubre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 3: patrones modernos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La v1 en construcción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Martes 27 de octubre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Asesoría del proyecto de aula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Avance de la v2 y borrador del FO-IV-159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Martes 3 de noviembre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Sustentación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La presentación final</w:t>
            </w:r>
          </w:p>
        </w:tc>
      </w:tr>
    </w:tbl>
    <w:p>
      <w:pPr>
        <w:spacing w:after="80" w:line="276" w:lineRule="auto"/>
      </w:pP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3. Los hitos</w:t>
      </w:r>
    </w:p>
    <w:p>
      <w:pPr>
        <w:spacing w:after="80" w:line="276" w:lineRule="auto"/>
      </w:pP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Hito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Qué entregas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Dónde se entrega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Modalidad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Vence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H0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Integrantes, reto elegido y título provisional del proyecto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Mensaje al tutor por el aula, antes del encuentro 2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Equipo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Martes 13 de octubre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H1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Informe de diagnóstico arquitectónico del reto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Actividad 1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Individual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Domingo 18 de octubre, 11:59 p. m.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H2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v1: documento, UML, MVP y enlace al repositorio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Actividad 2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Equipo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Domingo 25 de octubre, 11:59 p. m.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H3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Aporte y réplicas sobre el patrón moderno al que migrar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Foro de la Unidad 3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Individual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Domingo 1 de noviembre, 11:59 p. m.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H4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v2 + 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informe FO-IV-159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+ anexos (documento técnico, repositorio, capturas) + sustentación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Actividad 3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Equipo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Sustentación martes 3 de noviembre · entrega domingo 8 de noviembre, 11:59 p. m.</w:t>
            </w:r>
          </w:p>
        </w:tc>
      </w:tr>
    </w:tbl>
    <w:p>
      <w:pPr>
        <w:spacing w:after="80" w:line="276" w:lineRule="auto"/>
      </w:pPr>
    </w:p>
    <w:p>
      <w:pPr>
        <w:spacing w:before="120" w:after="60" w:line="276" w:lineRule="auto"/>
        <w:keepNext/>
      </w:pPr>
      <w:r>
        <w:rPr>
          <w:rFonts w:ascii="Times New Roman" w:hAnsi="Times New Roman" w:cs="Times New Roman"/>
          <w:b/>
          <w:color w:val="2C3E50"/>
          <w:sz w:val="24"/>
          <w:szCs w:val="24"/>
        </w:rPr>
        <w:t xml:space="preserve">3.1 Qué produce cada hito y para qué sirve después</w:t>
      </w:r>
    </w:p>
    <w:p>
      <w:pPr>
        <w:spacing w:after="80" w:line="276" w:lineRule="auto"/>
      </w:pP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H1 → H2.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El diagnóstico identifica los atributos de calidad que mandan en tu reto y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descarta patrones con argumentos. La v1 implementa el patrón clásico que mejor salió parado. Cada integrante escribe su propio informe sobre el reto del equipo.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H2 → H3.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La v1 hace visibles sus límites: dónde duele el acoplamiento, qué no escala,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qué cuesta cambiar. Esos límites son el material del foro.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H3 → H4.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El foro obliga a defender la migración frente a compañeros que critican. La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v2 implementa la decisión que resistió la crítica.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H4.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La v2 se compara contra la v1 con criterios medibles, y el FO-IV-159 cuenta el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proyecto completo con sus evidencias.</w:t>
      </w:r>
    </w:p>
    <w:p>
      <w:pPr>
        <w:spacing w:after="80" w:line="276" w:lineRule="auto"/>
      </w:pPr>
    </w:p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Tip: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 Marca la v1 en el repositorio con una etiqueta de git (</w:t>
      </w:r>
      <w:r>
        <w:rPr>
          <w:rFonts w:ascii="Consolas" w:hAnsi="Consolas" w:cs="Consolas"/>
          <w:color w:val="000000"/>
          <w:sz w:val="21"/>
          <w:szCs w:val="21"/>
        </w:rPr>
        <w:t xml:space="preserve">git tag v1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 y </w:t>
      </w:r>
      <w:r>
        <w:rPr>
          <w:rFonts w:ascii="Consolas" w:hAnsi="Consolas" w:cs="Consolas"/>
          <w:color w:val="000000"/>
          <w:sz w:val="21"/>
          <w:szCs w:val="21"/>
        </w:rPr>
        <w:t xml:space="preserve">git push --tags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) antes de empezar la v2. Así la comparación es reproducible: cualquiera puede ejecutar las dos versiones.</w:t>
      </w:r>
    </w:p>
    <w:p>
      <w:pPr>
        <w:spacing w:after="80" w:line="276" w:lineRule="auto"/>
      </w:pP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4. El informe FO-IV-159, campo por campo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El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FO-IV-159 · Informe de Proyectos de Aula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es una hoja de cálculo con tres pestañas: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INFORME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(los campos del proyecto),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ESTUDIANTE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(los integrantes) y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PRODUCTOS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(el catálogo de productos aceptados). Cada equipo diligencia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uno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 En la columna de la derecha de cada campo el formato trae su instrucción: reemplázala por tu texto.</w:t>
      </w:r>
    </w:p>
    <w:p>
      <w:pPr>
        <w:spacing w:after="80" w:line="276" w:lineRule="auto"/>
      </w:pPr>
    </w:p>
    <w:p>
      <w:pPr>
        <w:spacing w:before="120" w:after="60" w:line="276" w:lineRule="auto"/>
        <w:keepNext/>
      </w:pPr>
      <w:r>
        <w:rPr>
          <w:rFonts w:ascii="Times New Roman" w:hAnsi="Times New Roman" w:cs="Times New Roman"/>
          <w:b/>
          <w:color w:val="2C3E50"/>
          <w:sz w:val="24"/>
          <w:szCs w:val="24"/>
        </w:rPr>
        <w:t xml:space="preserve">4.1 Información general</w:t>
      </w:r>
    </w:p>
    <w:p>
      <w:pPr>
        <w:spacing w:after="80" w:line="276" w:lineRule="auto"/>
      </w:pP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Campo del FO-IV-159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Qué escribes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Sale del hito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Título del proyecto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Breve y preciso; responde qué, cómo, cuándo, dónde y con quién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H0, se ajusta al final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Resumen del proyecto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Problema, cómo lo resolvieron, por qué y con qué herramientas. 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Máximo 800 caracteres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H4: se escribe de último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Área de Conocimiento del Programa Académico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Ingeniería, arquitectura, urbanismo y afines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Fecha de inicio / Fecha de cierre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05/10/2026 y 08/11/2026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Facultad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Facultad de Ingeniería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Programa Académico y Semestre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El programa de posgrado y el semestre que cursan los integrantes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Número de estudiantes participantes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Los integrantes del equipo (2 o 3)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H0</w:t>
            </w:r>
          </w:p>
        </w:tc>
      </w:tr>
    </w:tbl>
    <w:p>
      <w:pPr>
        <w:spacing w:after="80" w:line="276" w:lineRule="auto"/>
      </w:pPr>
    </w:p>
    <w:p>
      <w:pPr>
        <w:spacing w:before="120" w:after="60" w:line="276" w:lineRule="auto"/>
        <w:keepNext/>
      </w:pPr>
      <w:r>
        <w:rPr>
          <w:rFonts w:ascii="Times New Roman" w:hAnsi="Times New Roman" w:cs="Times New Roman"/>
          <w:b/>
          <w:color w:val="2C3E50"/>
          <w:sz w:val="24"/>
          <w:szCs w:val="24"/>
        </w:rPr>
        <w:t xml:space="preserve">4.2 Contexto del proyecto</w:t>
      </w:r>
    </w:p>
    <w:p>
      <w:pPr>
        <w:spacing w:after="80" w:line="276" w:lineRule="auto"/>
      </w:pP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Campo del FO-IV-159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Qué escribes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Sale del hito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Planteamiento del problema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De lo general a lo específico (mundial, nacional, regional), con datos de fuentes primarias (DANE, secretarías, artículos científicos) citadas en APA 7. Sin juicios de valor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Reto + H1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Pregunta de investigación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El problema en forma de pregunta, coherente con el título. Que no se responda con sí o no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H0–H1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Justificación del proyecto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Relación con las prioridades de la región y del país, resultados esperados, cómo se socializan y quiénes se benefician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H1 + H3</w:t>
            </w:r>
          </w:p>
        </w:tc>
      </w:tr>
    </w:tbl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Ejemplo con el reto de demostración (Mercado Campesino): </w:t>
      </w:r>
      <w:r>
        <w:rPr>
          <w:rFonts w:ascii="Times New Roman" w:hAnsi="Times New Roman" w:cs="Times New Roman"/>
          <w:i/>
          <w:color w:val="000000"/>
          <w:sz w:val="22"/>
          <w:szCs w:val="22"/>
        </w:rPr>
        <w:t xml:space="preserve">«¿En qué medida migrar el sistema de pedidos de una asociación de productores de Neiva de una arquitectura en capas a una arquitectura hexagonal con eventos cambia su modificabilidad y su disponibilidad en el día de cierre de pedidos?»</w:t>
      </w:r>
    </w:p>
    <w:p>
      <w:pPr>
        <w:spacing w:after="80" w:line="276" w:lineRule="auto"/>
      </w:pPr>
    </w:p>
    <w:p>
      <w:pPr>
        <w:spacing w:before="120" w:after="60" w:line="276" w:lineRule="auto"/>
        <w:keepNext/>
      </w:pPr>
      <w:r>
        <w:rPr>
          <w:rFonts w:ascii="Times New Roman" w:hAnsi="Times New Roman" w:cs="Times New Roman"/>
          <w:b/>
          <w:color w:val="2C3E50"/>
          <w:sz w:val="24"/>
          <w:szCs w:val="24"/>
        </w:rPr>
        <w:t xml:space="preserve">4.3 Objetivos y metodología</w:t>
      </w:r>
    </w:p>
    <w:p>
      <w:pPr>
        <w:spacing w:after="80" w:line="276" w:lineRule="auto"/>
      </w:pP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Campo del FO-IV-159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Qué escribes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Sale del hito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Objetivo General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 verbo en infinitivo; qué, cómo y para qué; medible (verbos de la taxonomía de Bloom)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H0–H1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Objetivos específicos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Las metas de cada etapa, en secuencia y medibles. No son actividades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Los hitos H1 a H4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Metodología implementada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Metodología: Aprendizaje Basado en Proyectos (ABP) con aprendizaje cooperativo, organizado en los hitos H0 a H4 de esta guía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Una forma natural de los objetivos específicos es seguir los hitos: </w:t>
      </w:r>
      <w:r>
        <w:rPr>
          <w:rFonts w:ascii="Times New Roman" w:hAnsi="Times New Roman" w:cs="Times New Roman"/>
          <w:i/>
          <w:color w:val="000000"/>
          <w:sz w:val="22"/>
          <w:szCs w:val="22"/>
        </w:rPr>
        <w:t xml:space="preserve">diagnosticar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los atributos de calidad del reto (H1); </w:t>
      </w:r>
      <w:r>
        <w:rPr>
          <w:rFonts w:ascii="Times New Roman" w:hAnsi="Times New Roman" w:cs="Times New Roman"/>
          <w:i/>
          <w:color w:val="000000"/>
          <w:sz w:val="22"/>
          <w:szCs w:val="22"/>
        </w:rPr>
        <w:t xml:space="preserve">diseñar e implementar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la v1 con un patrón clásico (H2); </w:t>
      </w:r>
      <w:r>
        <w:rPr>
          <w:rFonts w:ascii="Times New Roman" w:hAnsi="Times New Roman" w:cs="Times New Roman"/>
          <w:i/>
          <w:color w:val="000000"/>
          <w:sz w:val="22"/>
          <w:szCs w:val="22"/>
        </w:rPr>
        <w:t xml:space="preserve">evaluar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alternativas modernas y </w:t>
      </w:r>
      <w:r>
        <w:rPr>
          <w:rFonts w:ascii="Times New Roman" w:hAnsi="Times New Roman" w:cs="Times New Roman"/>
          <w:i/>
          <w:color w:val="000000"/>
          <w:sz w:val="22"/>
          <w:szCs w:val="22"/>
        </w:rPr>
        <w:t xml:space="preserve">seleccionar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una (H3); </w:t>
      </w:r>
      <w:r>
        <w:rPr>
          <w:rFonts w:ascii="Times New Roman" w:hAnsi="Times New Roman" w:cs="Times New Roman"/>
          <w:i/>
          <w:color w:val="000000"/>
          <w:sz w:val="22"/>
          <w:szCs w:val="22"/>
        </w:rPr>
        <w:t xml:space="preserve">implementar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la v2 y </w:t>
      </w:r>
      <w:r>
        <w:rPr>
          <w:rFonts w:ascii="Times New Roman" w:hAnsi="Times New Roman" w:cs="Times New Roman"/>
          <w:i/>
          <w:color w:val="000000"/>
          <w:sz w:val="22"/>
          <w:szCs w:val="22"/>
        </w:rPr>
        <w:t xml:space="preserve">comparar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ambas versiones con métricas (H4).</w:t>
      </w:r>
    </w:p>
    <w:p>
      <w:pPr>
        <w:spacing w:after="80" w:line="276" w:lineRule="auto"/>
      </w:pPr>
    </w:p>
    <w:p>
      <w:pPr>
        <w:spacing w:before="120" w:after="60" w:line="276" w:lineRule="auto"/>
        <w:keepNext/>
      </w:pPr>
      <w:r>
        <w:rPr>
          <w:rFonts w:ascii="Times New Roman" w:hAnsi="Times New Roman" w:cs="Times New Roman"/>
          <w:b/>
          <w:color w:val="2C3E50"/>
          <w:sz w:val="24"/>
          <w:szCs w:val="24"/>
        </w:rPr>
        <w:t xml:space="preserve">4.4 Resultados, productos y anexos</w:t>
      </w:r>
    </w:p>
    <w:p>
      <w:pPr>
        <w:spacing w:after="80" w:line="276" w:lineRule="auto"/>
      </w:pP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Campo del FO-IV-159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Qué escribes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Sale del hito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Resultados del proyecto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Logros concretos (v1 y v2 funcionando), la comparación medida, el impacto en el aprendizaje (estudiantes, porcentaje de ejecución) y las habilidades desarrolladas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H2–H4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Productos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Del catálogo de la pestaña PRODUCTOS: «Desarrollo de software» (la v1 y la v2), «Reporte de investigación» (el documento técnico) y «Exposición de productos» (la sustentación)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H4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Anexo 1. Fotografías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Capturas de la v1 y de la v2 funcionando, del repositorio y de la sustentación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H2–H4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Anexo 2. Productos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El 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documento técnico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(plantilla de esta guía), el enlace al repositorio con las etiquetas 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v1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y 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v2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, y la presentación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H4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Bibliografía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Normas APA vigentes o IEEE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Todos</w:t>
            </w:r>
          </w:p>
        </w:tc>
      </w:tr>
    </w:tbl>
    <w:p>
      <w:pPr>
        <w:spacing w:after="80" w:line="276" w:lineRule="auto"/>
      </w:pPr>
    </w:p>
    <w:p>
      <w:pPr>
        <w:spacing w:before="120" w:after="60" w:line="276" w:lineRule="auto"/>
        <w:keepNext/>
      </w:pPr>
      <w:r>
        <w:rPr>
          <w:rFonts w:ascii="Times New Roman" w:hAnsi="Times New Roman" w:cs="Times New Roman"/>
          <w:b/>
          <w:color w:val="2C3E50"/>
          <w:sz w:val="24"/>
          <w:szCs w:val="24"/>
        </w:rPr>
        <w:t xml:space="preserve">4.5 La pestaña ESTUDIANTE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Una fila por integrante: institución, facultad, programa académico, semestre, nombre y apellidos, e identificación.</w:t>
      </w:r>
    </w:p>
    <w:p>
      <w:pPr>
        <w:spacing w:after="80" w:line="276" w:lineRule="auto"/>
      </w:pPr>
    </w:p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Cuidado: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 La pestaña ESTUDIANTE lleva </w:t>
      </w: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números de identificación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. El FO-IV-159 se entrega </w:t>
      </w: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solo en el aula Moodle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: no lo subas al repositorio, que puede ser público.</w:t>
      </w:r>
    </w:p>
    <w:p>
      <w:pPr>
        <w:spacing w:after="80" w:line="276" w:lineRule="auto"/>
      </w:pP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5. Catálogo de retos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Cada equipo elige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uno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 Todos están situados en el Huila y tienen una versión 1 natural con un patrón clásico y al menos dos caminos modernos defendibles. Los requisitos son el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mínimo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: puedes ampliarlos, no recortarlos.</w:t>
      </w:r>
    </w:p>
    <w:p>
      <w:pPr>
        <w:spacing w:after="80" w:line="276" w:lineRule="auto"/>
      </w:pPr>
    </w:p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Cuidado: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 </w:t>
      </w: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Mercado Campesino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 (pedidos y entregas de una asociación de productores) es el reto de demostración que resuelven los manuales paso a paso. </w:t>
      </w: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No se puede elegir.</w:t>
      </w:r>
    </w:p>
    <w:p>
      <w:pPr>
        <w:spacing w:after="80" w:line="276" w:lineRule="auto"/>
      </w:pPr>
    </w:p>
    <w:p>
      <w:pPr>
        <w:spacing w:before="120" w:after="60" w:line="276" w:lineRule="auto"/>
        <w:keepNext/>
      </w:pPr>
      <w:r>
        <w:rPr>
          <w:rFonts w:ascii="Times New Roman" w:hAnsi="Times New Roman" w:cs="Times New Roman"/>
          <w:b/>
          <w:color w:val="2C3E50"/>
          <w:sz w:val="24"/>
          <w:szCs w:val="24"/>
        </w:rPr>
        <w:t xml:space="preserve">Reto 1 · TrazaCafé — trazabilidad de café especial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Una cooperativa recibe lotes de café de pequeños productores, los clasifica, los somete a catación y los agrupa en despachos para exportadores. Los compradores internacionales exigen saber de qué finca viene cada saco.</w:t>
      </w:r>
    </w:p>
    <w:p>
      <w:pPr>
        <w:spacing w:after="80" w:line="276" w:lineRule="auto"/>
      </w:pP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Elemento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Actores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Productor, técnico de acopio, catador, exportador, comprador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Requisitos mínimos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Registrar productor y finca con ubicación · registrar ingreso de lote (peso, humedad, variedad, proceso) · registrar la catación con su puntaje · agrupar lotes en un despacho · consultar la historia de un lote por su código · reporte por finca y por cosecha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Atributos de calidad que mandan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Trazabilidad y auditabilidad, integridad de los datos, operación con conectividad limitada en el punto de acopio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v1 sugerida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Capas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(o pipes &amp; filters para el flujo de beneficio del lote)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v2 candidatas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Event-driven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(cada cambio de estado del lote es un evento), 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CQRS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(consulta pública del lote separada del registro)</w:t>
            </w:r>
          </w:p>
        </w:tc>
      </w:tr>
    </w:tbl>
    <w:p>
      <w:pPr>
        <w:spacing w:after="80" w:line="276" w:lineRule="auto"/>
      </w:pPr>
    </w:p>
    <w:p>
      <w:pPr>
        <w:spacing w:before="120" w:after="60" w:line="276" w:lineRule="auto"/>
        <w:keepNext/>
      </w:pPr>
      <w:r>
        <w:rPr>
          <w:rFonts w:ascii="Times New Roman" w:hAnsi="Times New Roman" w:cs="Times New Roman"/>
          <w:b/>
          <w:color w:val="2C3E50"/>
          <w:sz w:val="24"/>
          <w:szCs w:val="24"/>
        </w:rPr>
        <w:t xml:space="preserve">Reto 2 · RutaSur — reservas de turismo regional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Operadores de San Agustín, Isnos y el Desierto de la Tatacoa venden experiencias (recorridos arqueológicos, observación astronómica, transporte, hospedaje) con cupos limitados. En temporada alta la demanda se multiplica y nadie puede sobrevender un cupo.</w:t>
      </w:r>
    </w:p>
    <w:p>
      <w:pPr>
        <w:spacing w:after="80" w:line="276" w:lineRule="auto"/>
      </w:pP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Elemento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Actores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Turista, operador turístico, guía, aliado de hospedaje, administrador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Requisitos mínimos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Catálogo de experiencias · disponibilidad por fecha y cupo · reserva con bloqueo temporal del cupo · pago simulado · confirmación con comprobante · calificación después de la visita · panel del operador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Atributos de calidad que mandan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Escalabilidad en temporada alta, consistencia de cupos (cero sobreventa), disponibilidad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v1 sugerida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MVC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sobre una arquitectura 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en capas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v2 candidatas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Microservicios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(catálogo, reservas, pagos, notificaciones) coordinados por 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eventos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; 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serverless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para notificaciones</w:t>
            </w:r>
          </w:p>
        </w:tc>
      </w:tr>
    </w:tbl>
    <w:p>
      <w:pPr>
        <w:spacing w:after="80" w:line="276" w:lineRule="auto"/>
      </w:pPr>
    </w:p>
    <w:p>
      <w:pPr>
        <w:spacing w:before="120" w:after="60" w:line="276" w:lineRule="auto"/>
        <w:keepNext/>
      </w:pPr>
      <w:r>
        <w:rPr>
          <w:rFonts w:ascii="Times New Roman" w:hAnsi="Times New Roman" w:cs="Times New Roman"/>
          <w:b/>
          <w:color w:val="2C3E50"/>
          <w:sz w:val="24"/>
          <w:szCs w:val="24"/>
        </w:rPr>
        <w:t xml:space="preserve">Reto 3 · AquaBetania — monitoreo de estanques piscícolas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Piscicultores de tilapia en el embalse de Betania instalan sensores en sus jaulas. Si el oxígeno disuelto cae de noche y nadie se entera, se pierde la producción en horas.</w:t>
      </w:r>
    </w:p>
    <w:p>
      <w:pPr>
        <w:spacing w:after="80" w:line="276" w:lineRule="auto"/>
      </w:pP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Elemento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Actores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Piscicultor, técnico, sensor (dispositivo), comprador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Requisitos mínimos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Registrar jaulas o estanques · recibir lecturas periódicas (oxígeno, temperatura, pH) · alertas por umbral · bitácora de alimentación · histórico con gráficas · reporte de mortalidad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Atributos de calidad que mandan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Latencia de las alertas, volumen de ingesta, tolerancia a fallos de conectividad, costo de operación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v1 sugerida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Pipes &amp; filters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(ingesta → limpieza → evaluación de umbral → almacenamiento) o 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cliente-servidor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v2 candidatas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Event-driven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serverless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(una función por lectura o por alerta), 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cloud-native</w:t>
            </w:r>
          </w:p>
        </w:tc>
      </w:tr>
    </w:tbl>
    <w:p>
      <w:pPr>
        <w:spacing w:after="80" w:line="276" w:lineRule="auto"/>
      </w:pPr>
    </w:p>
    <w:p>
      <w:pPr>
        <w:spacing w:before="120" w:after="60" w:line="276" w:lineRule="auto"/>
        <w:keepNext/>
      </w:pPr>
      <w:r>
        <w:rPr>
          <w:rFonts w:ascii="Times New Roman" w:hAnsi="Times New Roman" w:cs="Times New Roman"/>
          <w:b/>
          <w:color w:val="2C3E50"/>
          <w:sz w:val="24"/>
          <w:szCs w:val="24"/>
        </w:rPr>
        <w:t xml:space="preserve">Reto 4 · CitaSalud — agendamiento en una red regional de IPS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Una red de IPS con sedes en Neiva, Pitalito, Garzón y La Plata agenda citas por web y por call center. Hoy hay doble asignación de citas y nadie confía en la lista de espera.</w:t>
      </w:r>
    </w:p>
    <w:p>
      <w:pPr>
        <w:spacing w:after="80" w:line="276" w:lineRule="auto"/>
      </w:pP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Elemento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Actores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Paciente, agente de call center, profesional de la salud, coordinador de sede, servicio externo de validación de derechos (simulado)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Requisitos mínimos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Consultar agenda por especialidad y sede · asignar, reprogramar y cancelar cita · lista de espera · recordatorios · validar derechos del afiliado contra el servicio externo · reporte de inasistencia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Atributos de calidad que mandan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Consistencia (cero doble asignación), disponibilidad, seguridad y privacidad (datos de salud = datos sensibles, Ley 1581 de 2012), integrabilidad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v1 sugerida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Capas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con 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MVC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en la presentación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v2 candidatas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Hexagonal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(aislar el dominio de la integración externa), 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CQRS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(consulta de agendas separada de la asignación), 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microservicios</w:t>
            </w:r>
          </w:p>
        </w:tc>
      </w:tr>
    </w:tbl>
    <w:p>
      <w:pPr>
        <w:spacing w:after="80" w:line="276" w:lineRule="auto"/>
      </w:pPr>
    </w:p>
    <w:p>
      <w:pPr>
        <w:spacing w:before="120" w:after="60" w:line="276" w:lineRule="auto"/>
        <w:keepNext/>
      </w:pPr>
      <w:r>
        <w:rPr>
          <w:rFonts w:ascii="Times New Roman" w:hAnsi="Times New Roman" w:cs="Times New Roman"/>
          <w:b/>
          <w:color w:val="2C3E50"/>
          <w:sz w:val="24"/>
          <w:szCs w:val="24"/>
        </w:rPr>
        <w:t xml:space="preserve">Reto 5 · PQRS Ciudadana — peticiones de una alcaldía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Una alcaldía municipal recibe peticiones, quejas, reclamos y sugerencias por ventanilla y por web. La ley fija plazos de respuesta (Ley 1755 de 2015) y hoy se vencen sin que nadie lo note.</w:t>
      </w:r>
    </w:p>
    <w:p>
      <w:pPr>
        <w:spacing w:after="80" w:line="276" w:lineRule="auto"/>
      </w:pP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Elemento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Actores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Ciudadano, radicador, dependencia responsable, jefe de control interno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Requisitos mínimos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Radicar la PQRS con número único · clasificarla y asignarla a una dependencia · semáforo de vencimiento según el plazo legal · responder y notificar al ciudadano · consultar el estado por radicado · reporte de oportunidad por dependencia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Atributos de calidad que mandan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Trazabilidad, cumplimiento de plazos, usabilidad para el ciudadano, disponibilidad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v1 sugerida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MVC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sobre 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capas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v2 candidatas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Hexagonal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+ 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event-driven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(los vencimientos y asignaciones como eventos), 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microservicios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(radicación, gestión, notificaciones)</w:t>
            </w:r>
          </w:p>
        </w:tc>
      </w:tr>
    </w:tbl>
    <w:p>
      <w:pPr>
        <w:spacing w:after="80" w:line="276" w:lineRule="auto"/>
      </w:pPr>
    </w:p>
    <w:p>
      <w:pPr>
        <w:spacing w:before="120" w:after="60" w:line="276" w:lineRule="auto"/>
        <w:keepNext/>
      </w:pPr>
      <w:r>
        <w:rPr>
          <w:rFonts w:ascii="Times New Roman" w:hAnsi="Times New Roman" w:cs="Times New Roman"/>
          <w:b/>
          <w:color w:val="2C3E50"/>
          <w:sz w:val="24"/>
          <w:szCs w:val="24"/>
        </w:rPr>
        <w:t xml:space="preserve">5.1 Reglas del catálogo</w:t>
      </w:r>
    </w:p>
    <w:p>
      <w:pPr>
        <w:spacing w:after="80" w:line="276" w:lineRule="auto"/>
      </w:pP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Si dos equipos eligen el mismo reto, cada uno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delimita un alcance distinto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(otra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cooperativa, otro tipo de experiencia, otra sede) y lo declara en el H0.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Puedes cambiar de reto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solo hasta el H0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(martes 13 de octubre).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Un reto propio fuera del catálogo se acepta si el tutor lo aprueba en el H0 y cumple lo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mismo que los del catálogo: actores, al menos seis requisitos, atributos de calidad explícitos, una v1 clásica natural y dos caminos modernos defendibles.</w:t>
      </w:r>
    </w:p>
    <w:p>
      <w:pPr>
        <w:spacing w:after="80" w:line="276" w:lineRule="auto"/>
      </w:pP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6. Equipos</w:t>
      </w:r>
    </w:p>
    <w:p>
      <w:pPr>
        <w:spacing w:after="80" w:line="276" w:lineRule="auto"/>
      </w:pP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2 o 3 integrantes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 La Actividad 1 y el foro son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individuales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; la Actividad 2 y la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Actividad 3,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de equipo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(cada integrante sube la misma entrega en el aula).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Contribución visible.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Cada integrante hace commits con su propia cuenta en el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repositorio del equipo. El documento técnico declara qué hizo cada uno.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Repositorio.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Uno por equipo, con instrucciones para ejecutar la v1 y la v2.</w:t>
      </w:r>
    </w:p>
    <w:p>
      <w:pPr>
        <w:spacing w:after="80" w:line="276" w:lineRule="auto"/>
      </w:pP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7. Qué se entrega en la Actividad 3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El cierre del proyecto de aula se califica dentro del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40 % de la Actividad 3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 es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uno por equipo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:</w:t>
      </w:r>
    </w:p>
    <w:p>
      <w:pPr>
        <w:spacing w:after="80" w:line="276" w:lineRule="auto"/>
      </w:pP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El FO-IV-159 diligenciado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(.xlsx), con las pestañas INFORME y ESTUDIANTE completas.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Un archivo .zip de anexos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como pide el formato: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Anexo 1. Fotografías: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capturas de la v1, de la v2 y de la sustentación.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Anexo 2. Productos: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el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documento técnico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(mínimo 2.000 palabras, Arial 12,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interlineado 1.5, márgenes de 2.5 cm, APA; Word o PDF), el enlace al repositorio y la presentación.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La [plantilla del documento técnico](plantilla/) trae su estructura (diagnóstico, v1, decisión de migración, v2, comparación y contribución por integrante) y el FO-IV-159 oficial.</w:t>
      </w:r>
    </w:p>
    <w:p>
      <w:pPr>
        <w:spacing w:after="80" w:line="276" w:lineRule="auto"/>
      </w:pPr>
    </w:p>
    <w:p>
      <w:pPr>
        <w:spacing w:before="120" w:after="60" w:line="276" w:lineRule="auto"/>
        <w:keepNext/>
      </w:pPr>
      <w:r>
        <w:rPr>
          <w:rFonts w:ascii="Times New Roman" w:hAnsi="Times New Roman" w:cs="Times New Roman"/>
          <w:b/>
          <w:color w:val="2C3E50"/>
          <w:sz w:val="24"/>
          <w:szCs w:val="24"/>
        </w:rPr>
        <w:t xml:space="preserve">7.1 Criterios medibles para la comparación v1 vs v2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Elige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al menos tres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 mídelos en las dos versiones:</w:t>
      </w:r>
    </w:p>
    <w:p>
      <w:pPr>
        <w:spacing w:after="80" w:line="276" w:lineRule="auto"/>
      </w:pP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Cómo se mide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Costo de un cambio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Agrega la misma funcionalidad nueva a v1 y v2; cuenta archivos y líneas tocadas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Acoplamiento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Dependencias entre módulos (diagrama o herramienta de análisis)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Despliegue independiente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¿Se puede desplegar una parte sin las demás? Sí/no, con evidencia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Rendimiento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Tiempo de respuesta o rendimiento bajo la misma carga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Tolerancia a fallos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Qué pasa cuando un componente cae (prueba documentada)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Facilidad de prueba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Pruebas automatizadas posibles y cobertura</w:t>
            </w:r>
          </w:p>
        </w:tc>
      </w:tr>
    </w:tbl>
    <w:p>
      <w:pPr>
        <w:spacing w:after="80" w:line="276" w:lineRule="auto"/>
      </w:pP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8. Rúbrica integradora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Los pesos son los que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declaran los enunciados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de las actividades (20 % · 20 % · 20 % · 40 %); aquí no se crea ninguna nota nueva. La tabla dice qué evidencia del proyecto responde a cada criterio de los enunciados.</w:t>
      </w:r>
    </w:p>
    <w:p>
      <w:pPr>
        <w:spacing w:after="80" w:line="276" w:lineRule="auto"/>
      </w:pP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Hito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Criterio del enunciado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Evidencia esperada en el proyecto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H1 · A1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Introducción: definición e importancia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Por qué la arquitectura decide el éxito 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de tu reto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H1 · A1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Patrones: definición, clasificación y comparación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Tabla clásicos vs modernos frente a los atributos de calidad del reto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H1 · A1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Análisis práctico de al menos tres patrones clásicos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Tres candidatos para el reto, cada uno con un sistema real de referencia, beneficios y limitaciones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H1 · A1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Reflexión, fuentes y formato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3 fuentes académicas en APA; 1.500–2.000 palabras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H2 · A2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Selección del problema y diseño UML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El reto delimitado; diagramas de componentes, clases y secuencia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H2 · A2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Prototipo (MVP) en repositorio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La v1 ejecutable, con instrucciones y la etiqueta 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v1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H2 · A2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Análisis de decisiones y reflexión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Por qué ese patrón clásico y qué límites ya se ven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H3 · Foro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Aporte comparativo y dos réplicas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El patrón moderno al que migrar tu v1, con argumentos técnicos y de negocio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H4 · A3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Definición, arquitectura, desarrollo y evaluación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FO-IV-159 completo, v2 funcional y la comparación medida en el documento técnico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H4 · A3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Repositorio y presentación final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README profesional; sustentación del 3 de noviembre</w:t>
            </w:r>
          </w:p>
        </w:tc>
      </w:tr>
    </w:tbl>
    <w:p>
      <w:pPr>
        <w:spacing w:after="80" w:line="276" w:lineRule="auto"/>
      </w:pP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9. La sustentación (martes 3 de noviembre)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Cada equipo tiene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8 minutos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: 5 de exposición y 3 de preguntas.</w:t>
      </w:r>
    </w:p>
    <w:p>
      <w:pPr>
        <w:spacing w:after="80" w:line="276" w:lineRule="auto"/>
      </w:pP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Tramo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Tiempo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Qué muestras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El problema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30 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Reto, pregunta de investigación y el atributo de calidad que más pesa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La v1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 min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Patrón clásico y el límite que encontraron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La decisión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 min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Alternativas consideradas y por qué ganó la elegida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La v2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 min 30 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Arquitectura y una demostración corta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La comparación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 min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Las métricas v1 vs v2 y su conclusión</w:t>
            </w:r>
          </w:p>
        </w:tc>
      </w:tr>
    </w:tbl>
    <w:p>
      <w:pPr>
        <w:spacing w:after="80" w:line="276" w:lineRule="auto"/>
      </w:pPr>
    </w:p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Nota: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 Si en los 50 minutos del encuentro no caben todos los equipos, los que queden graban un </w:t>
      </w: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video de 5 minutos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 con la misma estructura y ponen el enlace en el Anexo 2. El tutor anuncia el orden al inicio del encuentro.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Preguntas típicas: </w:t>
      </w:r>
      <w:r>
        <w:rPr>
          <w:rFonts w:ascii="Times New Roman" w:hAnsi="Times New Roman" w:cs="Times New Roman"/>
          <w:i/>
          <w:color w:val="000000"/>
          <w:sz w:val="22"/>
          <w:szCs w:val="22"/>
        </w:rPr>
        <w:t xml:space="preserve">¿qué harían distinto si empezaran hoy?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</w:t>
      </w:r>
      <w:r>
        <w:rPr>
          <w:rFonts w:ascii="Times New Roman" w:hAnsi="Times New Roman" w:cs="Times New Roman"/>
          <w:i/>
          <w:color w:val="000000"/>
          <w:sz w:val="22"/>
          <w:szCs w:val="22"/>
        </w:rPr>
        <w:t xml:space="preserve">¿qué parte de la v2 no justificaría su costo en un sistema más pequeño?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</w:t>
      </w:r>
      <w:r>
        <w:rPr>
          <w:rFonts w:ascii="Times New Roman" w:hAnsi="Times New Roman" w:cs="Times New Roman"/>
          <w:i/>
          <w:color w:val="000000"/>
          <w:sz w:val="22"/>
          <w:szCs w:val="22"/>
        </w:rPr>
        <w:t xml:space="preserve">¿qué pasa si cae el componente X?</w:t>
      </w:r>
    </w:p>
    <w:p>
      <w:pPr>
        <w:spacing w:after="80" w:line="276" w:lineRule="auto"/>
      </w:pP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10. Errores comunes</w:t>
      </w:r>
    </w:p>
    <w:p>
      <w:pPr>
        <w:spacing w:after="80" w:line="276" w:lineRule="auto"/>
      </w:pPr>
    </w:p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Cuidado: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 </w:t>
      </w: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Elegir el patrón moderno por moda.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 «Microservicios porque es lo que usan las grandes» no es un argumento. El argumento sale de los atributos de calidad de tu reto y de los límites que mostró tu v1.</w:t>
      </w:r>
    </w:p>
    <w:p>
      <w:pPr>
        <w:spacing w:after="80" w:line="276" w:lineRule="auto"/>
      </w:pPr>
    </w:p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Cuidado: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 </w:t>
      </w: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Comparar contra un sistema imaginario.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 La comparación es contra </w:t>
      </w: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tu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 v1, que existe y se puede ejecutar. Si la v1 no corre, no hay comparación.</w:t>
      </w:r>
    </w:p>
    <w:p>
      <w:pPr>
        <w:spacing w:after="80" w:line="276" w:lineRule="auto"/>
      </w:pPr>
    </w:p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Cuidado: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 </w:t>
      </w: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Un FO-IV-159 con las instrucciones todavía puestas.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 Cada campo trae su instrucción en la celda de la derecha: se reemplaza por el texto del equipo, no se deja.</w:t>
      </w:r>
    </w:p>
    <w:p>
      <w:pPr>
        <w:spacing w:after="80" w:line="276" w:lineRule="auto"/>
      </w:pPr>
    </w:p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Cuidado: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 </w:t>
      </w: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Juicios de valor en el planteamiento.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 El formato pide evitar «bueno», «malo», «mejor», «peor»: usa datos y fuentes.</w:t>
      </w:r>
    </w:p>
    <w:p>
      <w:pPr>
        <w:spacing w:after="80" w:line="276" w:lineRule="auto"/>
      </w:pPr>
    </w:p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Cuidado: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 </w:t>
      </w: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Empezar la v2 borrando la v1.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 Etiqueta la v1 en git antes de tocarla.</w:t>
      </w:r>
    </w:p>
    <w:p>
      <w:pPr>
        <w:spacing w:after="80" w:line="276" w:lineRule="auto"/>
      </w:pPr>
    </w:p>
    <w:p>
      <w:pPr>
        <w:spacing w:after="80" w:line="276" w:lineRule="auto"/>
      </w:pPr>
    </w:p>
    <w:sectPr w:rsidR="00155548" w:rsidRPr="001F12F1" w:rsidSect="00155548">
      <w:headerReference w:type="default" r:id="rId7"/>
      <w:footerReference w:type="default" r:id="rId8"/>
      <w:headerReference w:type="first" r:id="rId9"/>
      <w:footerReference w:type="first" r:id="rId10"/>
      <w:pgSz w:w="12240" w:h="15840" w:code="1"/>
      <w:pgMar w:top="1843" w:right="1701" w:bottom="2977" w:left="1701" w:header="708" w:footer="22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C695A" w14:textId="77777777" w:rsidR="006C18E1" w:rsidRDefault="006C18E1" w:rsidP="002A112E">
      <w:r>
        <w:separator/>
      </w:r>
    </w:p>
  </w:endnote>
  <w:endnote w:type="continuationSeparator" w:id="0">
    <w:p w14:paraId="4BF8B8AA" w14:textId="77777777" w:rsidR="006C18E1" w:rsidRDefault="006C18E1" w:rsidP="002A11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F229C" w14:textId="43FB8943" w:rsidR="00FF2B51" w:rsidRDefault="00FF2AB8" w:rsidP="00FA4BB5">
    <w:pPr>
      <w:pStyle w:val="Piedepgina"/>
    </w:pPr>
    <w:r>
      <w:rPr>
        <w:noProof/>
      </w:rPr>
      <w:drawing>
        <wp:anchor distT="0" distB="0" distL="114300" distR="114300" simplePos="0" relativeHeight="251668480" behindDoc="1" locked="0" layoutInCell="1" allowOverlap="1" wp14:anchorId="23CDBAA4" wp14:editId="13CD5147">
          <wp:simplePos x="0" y="0"/>
          <wp:positionH relativeFrom="page">
            <wp:align>left</wp:align>
          </wp:positionH>
          <wp:positionV relativeFrom="paragraph">
            <wp:posOffset>-460858</wp:posOffset>
          </wp:positionV>
          <wp:extent cx="8170734" cy="2173500"/>
          <wp:effectExtent l="0" t="0" r="0" b="0"/>
          <wp:wrapNone/>
          <wp:docPr id="1281878996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6099306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E9F9F26" w14:textId="77777777" w:rsidR="00FF2B51" w:rsidRDefault="00FF2B51" w:rsidP="00FA4BB5">
    <w:pPr>
      <w:pStyle w:val="Piedepgina"/>
    </w:pPr>
  </w:p>
  <w:p w14:paraId="5CA964E5" w14:textId="77777777" w:rsidR="00FF2B51" w:rsidRDefault="00FF2B51" w:rsidP="00FA4BB5">
    <w:pPr>
      <w:pStyle w:val="Piedepgina"/>
    </w:pPr>
  </w:p>
  <w:p w14:paraId="69909B34" w14:textId="77777777" w:rsidR="00FF2B51" w:rsidRDefault="00FF2B51" w:rsidP="00FA4BB5">
    <w:pPr>
      <w:pStyle w:val="Piedepgina"/>
    </w:pPr>
  </w:p>
  <w:p w14:paraId="6B9EF6F3" w14:textId="77777777" w:rsidR="00FF2B51" w:rsidRDefault="00FF2B51" w:rsidP="00FA4BB5">
    <w:pPr>
      <w:pStyle w:val="Piedepgina"/>
    </w:pPr>
  </w:p>
  <w:p w14:paraId="4C74B90B" w14:textId="77777777" w:rsidR="00FF2B51" w:rsidRDefault="00FF2B51" w:rsidP="00FA4BB5">
    <w:pPr>
      <w:pStyle w:val="Piedepgina"/>
    </w:pPr>
  </w:p>
  <w:p w14:paraId="34EBC313" w14:textId="77777777" w:rsidR="00FF2B51" w:rsidRDefault="00FF2B51" w:rsidP="00FA4BB5">
    <w:pPr>
      <w:pStyle w:val="Piedepgina"/>
    </w:pPr>
  </w:p>
  <w:p w14:paraId="53A76ED7" w14:textId="77777777" w:rsidR="00FF2B51" w:rsidRDefault="00FF2B51" w:rsidP="00FA4BB5">
    <w:pPr>
      <w:pStyle w:val="Piedepgina"/>
    </w:pPr>
  </w:p>
  <w:p w14:paraId="59541E1F" w14:textId="77777777" w:rsidR="00FF2B51" w:rsidRPr="00FA4BB5" w:rsidRDefault="00FF2B51" w:rsidP="00FA4BB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11401" w14:textId="3F3CDF43" w:rsidR="00FF2B51" w:rsidRDefault="00FF2AB8" w:rsidP="00B755F0">
    <w:pPr>
      <w:tabs>
        <w:tab w:val="left" w:pos="6000"/>
      </w:tabs>
      <w:jc w:val="center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66432" behindDoc="1" locked="0" layoutInCell="1" allowOverlap="1" wp14:anchorId="1D4DD4C0" wp14:editId="6BDF050F">
          <wp:simplePos x="0" y="0"/>
          <wp:positionH relativeFrom="page">
            <wp:align>left</wp:align>
          </wp:positionH>
          <wp:positionV relativeFrom="paragraph">
            <wp:posOffset>-431597</wp:posOffset>
          </wp:positionV>
          <wp:extent cx="8170734" cy="2173500"/>
          <wp:effectExtent l="0" t="0" r="0" b="0"/>
          <wp:wrapNone/>
          <wp:docPr id="548038771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908367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D492482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A0A674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C2885F3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19A7AAD9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0520C11" w14:textId="25ECEBC4" w:rsidR="00FF2B51" w:rsidRDefault="00FF2AB8" w:rsidP="00FF2AB8">
    <w:pPr>
      <w:tabs>
        <w:tab w:val="left" w:pos="5368"/>
        <w:tab w:val="left" w:pos="6000"/>
      </w:tabs>
      <w:jc w:val="left"/>
      <w:rPr>
        <w:sz w:val="20"/>
        <w:szCs w:val="20"/>
      </w:rPr>
    </w:pPr>
    <w:r>
      <w:rPr>
        <w:sz w:val="20"/>
        <w:szCs w:val="20"/>
      </w:rPr>
      <w:tab/>
    </w:r>
  </w:p>
  <w:p w14:paraId="76A5BBB8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4F1F6FFD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418175A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2B44946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0FD78C1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C6E26" w14:textId="77777777" w:rsidR="006C18E1" w:rsidRDefault="006C18E1" w:rsidP="002A112E">
      <w:r>
        <w:separator/>
      </w:r>
    </w:p>
  </w:footnote>
  <w:footnote w:type="continuationSeparator" w:id="0">
    <w:p w14:paraId="0FA3BE9A" w14:textId="77777777" w:rsidR="006C18E1" w:rsidRDefault="006C18E1" w:rsidP="002A11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13329" w14:textId="0FDFE3B6" w:rsidR="00FF2B51" w:rsidRDefault="00FF2AB8" w:rsidP="00D707B4">
    <w:pPr>
      <w:pStyle w:val="Encabezado"/>
      <w:jc w:val="right"/>
      <w:rPr>
        <w:sz w:val="18"/>
        <w:szCs w:val="18"/>
      </w:rPr>
    </w:pPr>
    <w:r>
      <w:rPr>
        <w:noProof/>
      </w:rPr>
      <w:drawing>
        <wp:anchor distT="0" distB="0" distL="114300" distR="114300" simplePos="0" relativeHeight="251670528" behindDoc="1" locked="0" layoutInCell="1" allowOverlap="1" wp14:anchorId="1B2F72C5" wp14:editId="3C664F07">
          <wp:simplePos x="0" y="0"/>
          <wp:positionH relativeFrom="page">
            <wp:align>right</wp:align>
          </wp:positionH>
          <wp:positionV relativeFrom="paragraph">
            <wp:posOffset>-432232</wp:posOffset>
          </wp:positionV>
          <wp:extent cx="7754112" cy="1946275"/>
          <wp:effectExtent l="0" t="0" r="0" b="0"/>
          <wp:wrapNone/>
          <wp:docPr id="78026976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4112" cy="19462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624521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7A6EC813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06FE6935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6916C3B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295FE6F4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5F2BE872" w14:textId="272B9BE5" w:rsidR="00FF2B51" w:rsidRPr="00A80514" w:rsidRDefault="0000238D" w:rsidP="0070546F">
    <w:pPr>
      <w:pStyle w:val="Encabezado"/>
      <w:rPr>
        <w:sz w:val="22"/>
        <w:szCs w:val="22"/>
      </w:rPr>
    </w:pPr>
    <w:r>
      <w:rPr>
        <w:sz w:val="18"/>
        <w:szCs w:val="18"/>
      </w:rPr>
      <w:t xml:space="preserve">                         </w:t>
    </w:r>
    <w:r>
      <w:rPr>
        <w:sz w:val="22"/>
        <w:szCs w:val="22"/>
      </w:rPr>
      <w:t xml:space="preserve">           </w:t>
    </w:r>
  </w:p>
  <w:p w14:paraId="32813408" w14:textId="77777777" w:rsidR="00FF2B51" w:rsidRPr="00A80514" w:rsidRDefault="00FF2B51">
    <w:pPr>
      <w:pStyle w:val="Encabezado"/>
      <w:rPr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4E385" w14:textId="44AC0F1B" w:rsidR="00FF2B51" w:rsidRDefault="00782E03">
    <w:pPr>
      <w:pStyle w:val="Encabezado"/>
      <w:rPr>
        <w:sz w:val="10"/>
        <w:szCs w:val="10"/>
      </w:rPr>
    </w:pPr>
    <w:r>
      <w:rPr>
        <w:noProof/>
      </w:rPr>
      <w:drawing>
        <wp:anchor distT="0" distB="0" distL="114300" distR="114300" simplePos="0" relativeHeight="251664384" behindDoc="1" locked="0" layoutInCell="1" allowOverlap="1" wp14:anchorId="17CC641D" wp14:editId="23B7A17C">
          <wp:simplePos x="0" y="0"/>
          <wp:positionH relativeFrom="page">
            <wp:align>left</wp:align>
          </wp:positionH>
          <wp:positionV relativeFrom="paragraph">
            <wp:posOffset>-468401</wp:posOffset>
          </wp:positionV>
          <wp:extent cx="7754112" cy="1946275"/>
          <wp:effectExtent l="0" t="0" r="0" b="0"/>
          <wp:wrapNone/>
          <wp:docPr id="521326647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9612" cy="19476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FB92F58" w14:textId="77777777" w:rsidR="00FF2B51" w:rsidRDefault="00FF2B51">
    <w:pPr>
      <w:pStyle w:val="Encabezado"/>
      <w:rPr>
        <w:sz w:val="10"/>
        <w:szCs w:val="10"/>
      </w:rPr>
    </w:pPr>
  </w:p>
  <w:p w14:paraId="2E5A2E7E" w14:textId="77777777" w:rsidR="00FF2B51" w:rsidRDefault="00FF2B51">
    <w:pPr>
      <w:pStyle w:val="Encabezado"/>
      <w:rPr>
        <w:sz w:val="10"/>
        <w:szCs w:val="10"/>
      </w:rPr>
    </w:pPr>
  </w:p>
  <w:p w14:paraId="54B6646D" w14:textId="77777777" w:rsidR="00FF2B51" w:rsidRDefault="00FF2B51">
    <w:pPr>
      <w:pStyle w:val="Encabezado"/>
      <w:rPr>
        <w:sz w:val="10"/>
        <w:szCs w:val="10"/>
      </w:rPr>
    </w:pPr>
  </w:p>
  <w:p w14:paraId="74377C77" w14:textId="77777777" w:rsidR="00FF2B51" w:rsidRDefault="00FF2B51">
    <w:pPr>
      <w:pStyle w:val="Encabezado"/>
      <w:rPr>
        <w:sz w:val="10"/>
        <w:szCs w:val="10"/>
      </w:rPr>
    </w:pPr>
  </w:p>
  <w:p w14:paraId="0FAEDD64" w14:textId="6988B391" w:rsidR="00FF2B51" w:rsidRDefault="005734BC" w:rsidP="005734BC">
    <w:pPr>
      <w:pStyle w:val="Encabezado"/>
      <w:tabs>
        <w:tab w:val="clear" w:pos="4419"/>
        <w:tab w:val="clear" w:pos="8838"/>
        <w:tab w:val="left" w:pos="5890"/>
      </w:tabs>
      <w:rPr>
        <w:sz w:val="10"/>
        <w:szCs w:val="10"/>
      </w:rPr>
    </w:pPr>
    <w:r>
      <w:rPr>
        <w:sz w:val="10"/>
        <w:szCs w:val="10"/>
      </w:rPr>
      <w:tab/>
    </w:r>
  </w:p>
  <w:p w14:paraId="426FF80E" w14:textId="77777777" w:rsidR="00FF2B51" w:rsidRDefault="00FF2B51">
    <w:pPr>
      <w:pStyle w:val="Encabezado"/>
      <w:rPr>
        <w:sz w:val="10"/>
        <w:szCs w:val="10"/>
      </w:rPr>
    </w:pPr>
  </w:p>
  <w:p w14:paraId="5C8C09CD" w14:textId="77777777" w:rsidR="00FF2B51" w:rsidRDefault="00FF2B51">
    <w:pPr>
      <w:pStyle w:val="Encabezado"/>
      <w:rPr>
        <w:sz w:val="10"/>
        <w:szCs w:val="10"/>
      </w:rPr>
    </w:pPr>
  </w:p>
  <w:p w14:paraId="0360D9B7" w14:textId="77777777" w:rsidR="00FF2B51" w:rsidRDefault="00FF2B51">
    <w:pPr>
      <w:pStyle w:val="Encabezado"/>
      <w:rPr>
        <w:sz w:val="10"/>
        <w:szCs w:val="10"/>
      </w:rPr>
    </w:pPr>
  </w:p>
  <w:p w14:paraId="358CE599" w14:textId="77777777" w:rsidR="00FF2B51" w:rsidRDefault="00FF2B51">
    <w:pPr>
      <w:pStyle w:val="Encabezado"/>
      <w:rPr>
        <w:sz w:val="10"/>
        <w:szCs w:val="10"/>
      </w:rPr>
    </w:pPr>
  </w:p>
  <w:p w14:paraId="7950E72F" w14:textId="77777777" w:rsidR="00FF2B51" w:rsidRDefault="00FF2B51">
    <w:pPr>
      <w:pStyle w:val="Encabezado"/>
      <w:rPr>
        <w:sz w:val="10"/>
        <w:szCs w:val="10"/>
      </w:rPr>
    </w:pPr>
  </w:p>
  <w:p w14:paraId="2FC1F6A7" w14:textId="77777777" w:rsidR="00FF2B51" w:rsidRDefault="00FF2B51">
    <w:pPr>
      <w:pStyle w:val="Encabezado"/>
      <w:rPr>
        <w:sz w:val="10"/>
        <w:szCs w:val="10"/>
      </w:rPr>
    </w:pPr>
  </w:p>
  <w:p w14:paraId="3F2032D2" w14:textId="77777777" w:rsidR="00FF2B51" w:rsidRPr="00B755F0" w:rsidRDefault="00FF2B51">
    <w:pPr>
      <w:pStyle w:val="Encabezado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0521B"/>
    <w:multiLevelType w:val="hybridMultilevel"/>
    <w:tmpl w:val="5E16E2F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334232"/>
    <w:multiLevelType w:val="multilevel"/>
    <w:tmpl w:val="655A9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BD6EB7"/>
    <w:multiLevelType w:val="hybridMultilevel"/>
    <w:tmpl w:val="D8C47E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2801532">
    <w:abstractNumId w:val="2"/>
  </w:num>
  <w:num w:numId="2" w16cid:durableId="48186248">
    <w:abstractNumId w:val="0"/>
  </w:num>
  <w:num w:numId="3" w16cid:durableId="3435567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C34"/>
    <w:rsid w:val="0000238D"/>
    <w:rsid w:val="000657A7"/>
    <w:rsid w:val="00107B58"/>
    <w:rsid w:val="00155548"/>
    <w:rsid w:val="001D1C1E"/>
    <w:rsid w:val="001D4E0E"/>
    <w:rsid w:val="001F12F1"/>
    <w:rsid w:val="002621AB"/>
    <w:rsid w:val="00282AA5"/>
    <w:rsid w:val="002A112E"/>
    <w:rsid w:val="002B2B1A"/>
    <w:rsid w:val="00307E0D"/>
    <w:rsid w:val="00350FA4"/>
    <w:rsid w:val="0037520E"/>
    <w:rsid w:val="003D7B60"/>
    <w:rsid w:val="003F0323"/>
    <w:rsid w:val="004A19B8"/>
    <w:rsid w:val="004B53BD"/>
    <w:rsid w:val="005461B6"/>
    <w:rsid w:val="005734BC"/>
    <w:rsid w:val="005A4467"/>
    <w:rsid w:val="005A6C34"/>
    <w:rsid w:val="005E10C4"/>
    <w:rsid w:val="00634687"/>
    <w:rsid w:val="006612E0"/>
    <w:rsid w:val="00681E74"/>
    <w:rsid w:val="006A5DFD"/>
    <w:rsid w:val="006B45CB"/>
    <w:rsid w:val="006C18E1"/>
    <w:rsid w:val="00705991"/>
    <w:rsid w:val="00726E3A"/>
    <w:rsid w:val="00782E03"/>
    <w:rsid w:val="007A7DB7"/>
    <w:rsid w:val="007E74F3"/>
    <w:rsid w:val="00834C4D"/>
    <w:rsid w:val="00847791"/>
    <w:rsid w:val="00883196"/>
    <w:rsid w:val="0089327A"/>
    <w:rsid w:val="008C1362"/>
    <w:rsid w:val="00900006"/>
    <w:rsid w:val="00966675"/>
    <w:rsid w:val="009A2F9B"/>
    <w:rsid w:val="00A27AB8"/>
    <w:rsid w:val="00A56015"/>
    <w:rsid w:val="00A63D11"/>
    <w:rsid w:val="00A7604E"/>
    <w:rsid w:val="00BE45E0"/>
    <w:rsid w:val="00BF6B5C"/>
    <w:rsid w:val="00C171F8"/>
    <w:rsid w:val="00CE3507"/>
    <w:rsid w:val="00DB589B"/>
    <w:rsid w:val="00E31F59"/>
    <w:rsid w:val="00E5152C"/>
    <w:rsid w:val="00EA164E"/>
    <w:rsid w:val="00F000C4"/>
    <w:rsid w:val="00F057E0"/>
    <w:rsid w:val="00F23589"/>
    <w:rsid w:val="00FC5FF5"/>
    <w:rsid w:val="00FF21D4"/>
    <w:rsid w:val="00FF2AB8"/>
    <w:rsid w:val="00FF2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48A22C"/>
  <w15:chartTrackingRefBased/>
  <w15:docId w15:val="{97487A31-7BE4-4633-B003-CAB08366E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6C34"/>
    <w:pPr>
      <w:spacing w:after="0" w:line="240" w:lineRule="auto"/>
      <w:jc w:val="both"/>
    </w:pPr>
    <w:rPr>
      <w:rFonts w:ascii="Arial" w:eastAsia="Calibri" w:hAnsi="Arial" w:cs="Arial"/>
      <w:sz w:val="24"/>
      <w:szCs w:val="24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rsid w:val="005A6C34"/>
    <w:pPr>
      <w:widowControl w:val="0"/>
      <w:suppressAutoHyphens/>
      <w:spacing w:after="0" w:line="240" w:lineRule="auto"/>
      <w:textAlignment w:val="baseline"/>
    </w:pPr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styleId="Encabezado">
    <w:name w:val="header"/>
    <w:basedOn w:val="Normal"/>
    <w:link w:val="Encabezado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customStyle="1" w:styleId="Default">
    <w:name w:val="Default"/>
    <w:rsid w:val="005A6C34"/>
    <w:pPr>
      <w:autoSpaceDE w:val="0"/>
      <w:autoSpaceDN w:val="0"/>
      <w:adjustRightInd w:val="0"/>
      <w:spacing w:after="0" w:line="240" w:lineRule="auto"/>
    </w:pPr>
    <w:rPr>
      <w:rFonts w:ascii="Century Gothic" w:hAnsi="Century Gothic" w:cs="Century Gothic"/>
      <w:color w:val="000000"/>
      <w:sz w:val="24"/>
      <w:szCs w:val="24"/>
    </w:rPr>
  </w:style>
  <w:style w:type="paragraph" w:styleId="Textoindependiente">
    <w:name w:val="Body Text"/>
    <w:basedOn w:val="Normal"/>
    <w:link w:val="TextoindependienteCar"/>
    <w:rsid w:val="005A6C34"/>
    <w:pPr>
      <w:widowControl w:val="0"/>
      <w:suppressAutoHyphens/>
      <w:spacing w:after="120"/>
      <w:jc w:val="left"/>
      <w:textAlignment w:val="baseline"/>
    </w:pPr>
    <w:rPr>
      <w:rFonts w:ascii="Times New Roman" w:eastAsia="SimSun" w:hAnsi="Times New Roman" w:cs="Mangal"/>
      <w:kern w:val="1"/>
      <w:lang w:eastAsia="zh-CN" w:bidi="hi-IN"/>
    </w:rPr>
  </w:style>
  <w:style w:type="character" w:customStyle="1" w:styleId="TextoindependienteCar">
    <w:name w:val="Texto independiente Car"/>
    <w:basedOn w:val="Fuentedeprrafopredeter"/>
    <w:link w:val="Textoindependiente"/>
    <w:rsid w:val="005A6C34"/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customStyle="1" w:styleId="Prrafodelista1">
    <w:name w:val="Párrafo de lista1"/>
    <w:basedOn w:val="Normal"/>
    <w:rsid w:val="00350FA4"/>
    <w:pPr>
      <w:suppressAutoHyphens/>
      <w:spacing w:line="100" w:lineRule="atLeast"/>
      <w:ind w:left="720"/>
      <w:contextualSpacing/>
      <w:jc w:val="left"/>
    </w:pPr>
    <w:rPr>
      <w:rFonts w:ascii="Calibri" w:hAnsi="Calibri" w:cs="Calibri"/>
      <w:kern w:val="1"/>
      <w:sz w:val="22"/>
      <w:szCs w:val="22"/>
      <w:lang w:eastAsia="zh-CN"/>
    </w:rPr>
  </w:style>
  <w:style w:type="paragraph" w:styleId="Prrafodelista">
    <w:name w:val="List Paragraph"/>
    <w:basedOn w:val="Normal"/>
    <w:uiPriority w:val="34"/>
    <w:qFormat/>
    <w:rsid w:val="00BE45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1284</TotalTime>
  <Pages>1</Pages>
  <Words>104</Words>
  <Characters>592</Characters>
  <Application>Microsoft Office Word</Application>
  <DocSecurity>0</DocSecurity>
  <Lines>42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Secretaría General</dc:creator>
  <cp:keywords/>
  <dc:description/>
  <cp:lastModifiedBy>Oficina de Comunicaciones</cp:lastModifiedBy>
  <cp:revision>38</cp:revision>
  <cp:lastPrinted>2026-02-02T21:14:00Z</cp:lastPrinted>
  <dcterms:created xsi:type="dcterms:W3CDTF">2022-03-14T21:28:00Z</dcterms:created>
  <dcterms:modified xsi:type="dcterms:W3CDTF">2026-02-12T20:02:00Z</dcterms:modified>
</cp:coreProperties>
</file>