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300" w:lineRule="auto"/>
        <w:jc w:val="center"/>
      </w:pPr>
      <w:r>
        <w:rPr>
          <w:rFonts w:ascii="Hiragino Sans GB" w:hAnsi="Hiragino Sans GB" w:eastAsia="Hiragino Sans GB"/>
          <w:b/>
          <w:i w:val="0"/>
          <w:color w:val="2E74B5"/>
          <w:sz w:val="21"/>
        </w:rPr>
        <w:t>社区合作 · 原型交流</w:t>
      </w:r>
    </w:p>
    <w:p>
      <w:pPr>
        <w:keepNext w:val="0"/>
        <w:spacing w:before="0" w:after="80" w:line="240" w:lineRule="auto"/>
        <w:jc w:val="center"/>
      </w:pPr>
      <w:r>
        <w:rPr>
          <w:rFonts w:ascii="Hiragino Sans GB" w:hAnsi="Hiragino Sans GB" w:eastAsia="Hiragino Sans GB"/>
          <w:b/>
          <w:i w:val="0"/>
          <w:color w:val="20364D"/>
          <w:sz w:val="54"/>
        </w:rPr>
        <w:t>近邻互助组</w:t>
      </w:r>
    </w:p>
    <w:p>
      <w:pPr>
        <w:keepNext w:val="0"/>
        <w:spacing w:before="0" w:after="160" w:line="240" w:lineRule="auto"/>
        <w:jc w:val="center"/>
      </w:pPr>
      <w:r>
        <w:rPr>
          <w:rFonts w:ascii="Hiragino Sans GB" w:hAnsi="Hiragino Sans GB" w:eastAsia="Hiragino Sans GB"/>
          <w:b w:val="0"/>
          <w:i w:val="0"/>
          <w:color w:val="20364D"/>
          <w:sz w:val="40"/>
        </w:rPr>
        <w:t>社区合作沟通材料</w:t>
      </w:r>
    </w:p>
    <w:p>
      <w:pPr>
        <w:keepNext w:val="0"/>
        <w:spacing w:before="0" w:after="400" w:line="300" w:lineRule="auto"/>
        <w:jc w:val="center"/>
      </w:pPr>
      <w:r>
        <w:rPr>
          <w:rFonts w:ascii="Hiragino Sans GB" w:hAnsi="Hiragino Sans GB" w:eastAsia="Hiragino Sans GB"/>
          <w:b w:val="0"/>
          <w:i w:val="0"/>
          <w:color w:val="666666"/>
          <w:sz w:val="25"/>
        </w:rPr>
        <w:t>让邻里间已经发生的信任与互助，更容易被发现、接住和持续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BE2"/>
          <w:left w:val="single" w:sz="5" w:space="0" w:color="D7DBE2"/>
          <w:bottom w:val="single" w:sz="5" w:space="0" w:color="D7DBE2"/>
          <w:right w:val="single" w:sz="5" w:space="0" w:color="D7DBE2"/>
          <w:insideH w:val="single" w:sz="5" w:space="0" w:color="D7DBE2"/>
          <w:insideV w:val="single" w:sz="5" w:space="0" w:color="D7DBE2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Hiragino Sans GB" w:hAnsi="Hiragino Sans GB" w:eastAsia="Hiragino Sans GB"/>
                <w:b/>
                <w:color w:val="666666"/>
                <w:sz w:val="18"/>
              </w:rPr>
              <w:t>发起团队</w:t>
              <w:br/>
            </w:r>
            <w:r>
              <w:rPr>
                <w:rFonts w:ascii="Hiragino Sans GB" w:hAnsi="Hiragino Sans GB" w:eastAsia="Hiragino Sans GB"/>
                <w:b/>
                <w:color w:val="1B1B1B"/>
                <w:sz w:val="21"/>
              </w:rPr>
              <w:t>码成仝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Hiragino Sans GB" w:hAnsi="Hiragino Sans GB" w:eastAsia="Hiragino Sans GB"/>
                <w:b/>
                <w:color w:val="666666"/>
                <w:sz w:val="18"/>
              </w:rPr>
              <w:t>沟通对象</w:t>
              <w:br/>
            </w:r>
            <w:r>
              <w:rPr>
                <w:rFonts w:ascii="Hiragino Sans GB" w:hAnsi="Hiragino Sans GB" w:eastAsia="Hiragino Sans GB"/>
                <w:b/>
                <w:color w:val="1B1B1B"/>
                <w:sz w:val="21"/>
              </w:rPr>
              <w:t>布吉街道及相关社区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Hiragino Sans GB" w:hAnsi="Hiragino Sans GB" w:eastAsia="Hiragino Sans GB"/>
                <w:b/>
                <w:color w:val="666666"/>
                <w:sz w:val="18"/>
              </w:rPr>
              <w:t>公司主体</w:t>
              <w:br/>
            </w:r>
            <w:r>
              <w:rPr>
                <w:rFonts w:ascii="Hiragino Sans GB" w:hAnsi="Hiragino Sans GB" w:eastAsia="Hiragino Sans GB"/>
                <w:b/>
                <w:color w:val="1B1B1B"/>
                <w:sz w:val="21"/>
              </w:rPr>
              <w:t>码成仝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Hiragino Sans GB" w:hAnsi="Hiragino Sans GB" w:eastAsia="Hiragino Sans GB"/>
                <w:b/>
                <w:color w:val="666666"/>
                <w:sz w:val="18"/>
              </w:rPr>
              <w:t>版本</w:t>
              <w:br/>
            </w:r>
            <w:r>
              <w:rPr>
                <w:rFonts w:ascii="Hiragino Sans GB" w:hAnsi="Hiragino Sans GB" w:eastAsia="Hiragino Sans GB"/>
                <w:b/>
                <w:color w:val="1B1B1B"/>
                <w:sz w:val="21"/>
              </w:rPr>
              <w:t>试点讨论稿 · 2026 年 8 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F4D78"/>
                <w:sz w:val="22"/>
              </w:rPr>
              <w:t>我们希望从一个小场景开始</w:t>
            </w:r>
          </w:p>
          <w:p>
            <w:pPr>
              <w:spacing w:after="0" w:line="300" w:lineRule="auto"/>
            </w:pPr>
            <w:r>
              <w:rPr>
                <w:rFonts w:ascii="Hiragino Sans GB" w:hAnsi="Hiragino Sans GB" w:eastAsia="Hiragino Sans GB"/>
                <w:color w:val="1B1B1B"/>
                <w:sz w:val="21"/>
              </w:rPr>
              <w:t>与社区共同选择一个真实、可控、低风险的问题，用约 2 周完成一次可验证的试点：先解决问题，再根据数据和居民反馈决定是否扩展。</w:t>
            </w:r>
          </w:p>
        </w:tc>
      </w:tr>
    </w:tbl>
    <w:p>
      <w:pPr>
        <w:spacing w:after="20"/>
      </w:pP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核心项目是“近邻互助组”：基于真实亲历和既有邻里关系，让消费者之间能够分享有限、可核对的服务经验。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“街坊味”和“楼道收一收”是两个社区场景原型，分别验证供餐协作与楼道回收/保洁协作。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三个页面目前都是交互原型，不接入真实业务数据，也不代表已经上线运营。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建议第一步优先验证“楼道收一收”：范围小、数据少、成效容易观察，适合从一栋楼开始。</w:t>
      </w:r>
    </w:p>
    <w:p>
      <w:pPr>
        <w:pStyle w:val="Heading1"/>
        <w:keepNext/>
        <w:keepLines/>
        <w:pageBreakBefore/>
      </w:pPr>
      <w:r>
        <w:t>一、项目与三个原型的关系</w:t>
      </w:r>
    </w:p>
    <w:p>
      <w:pPr>
        <w:keepNext w:val="0"/>
        <w:spacing w:before="0" w:after="120" w:line="300" w:lineRule="auto"/>
        <w:jc w:val="both"/>
      </w:pPr>
      <w:r>
        <w:rPr>
          <w:rFonts w:ascii="Hiragino Sans GB" w:hAnsi="Hiragino Sans GB" w:eastAsia="Hiragino Sans GB"/>
          <w:b w:val="0"/>
          <w:i w:val="0"/>
          <w:color w:val="1B1B1B"/>
          <w:sz w:val="21"/>
        </w:rPr>
        <w:t>我们要解决的不是“再建一个群”，而是让已经存在的社区互助不再散落在微信群、私聊和个人记忆中。居民仍然可以在熟悉的关系场求助；只有当有人愿意回应、需要整理信息或承接后续协作时，工具才介入。</w:t>
      </w:r>
    </w:p>
    <w:p>
      <w:pPr>
        <w:pStyle w:val="Heading2"/>
        <w:keepNext/>
        <w:keepLines/>
      </w:pPr>
      <w:r>
        <w:t>社区里的三个常见摩擦</w:t>
      </w:r>
    </w:p>
    <w:p>
      <w:pPr>
        <w:numPr>
          <w:ilvl w:val="0"/>
          <w:numId w:val="10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居民需要维修、保洁、供餐等服务时，很难判断“谁是真的用过”“这条推荐是不是广告”。</w:t>
      </w:r>
    </w:p>
    <w:p>
      <w:pPr>
        <w:numPr>
          <w:ilvl w:val="0"/>
          <w:numId w:val="10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热心邻居愿意分享经验，但缺少清楚、可复用、不过度暴露隐私的载体。</w:t>
      </w:r>
    </w:p>
    <w:p>
      <w:pPr>
        <w:numPr>
          <w:ilvl w:val="0"/>
          <w:numId w:val="10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一些很小却高频的协作仍靠口头通知和反复确认，物业、服务人员和居民都增加了沟通成本。</w:t>
      </w:r>
    </w:p>
    <w:p>
      <w:pPr>
        <w:pStyle w:val="Heading2"/>
        <w:keepNext/>
        <w:keepLines/>
      </w:pPr>
      <w:r>
        <w:t>三个原型分别回答什么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700"/>
        <w:gridCol w:w="2100"/>
        <w:gridCol w:w="3000"/>
        <w:gridCol w:w="2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原型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整体位置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解决的问题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当前适合验证</w:t>
            </w:r>
          </w:p>
        </w:tc>
      </w:tr>
      <w:tr>
        <w:tc>
          <w:tcPr>
            <w:tcW w:type="dxa" w:w="17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8"/>
              </w:rPr>
              <w:t>近邻互助组</w:t>
            </w:r>
          </w:p>
        </w:tc>
        <w:tc>
          <w:tcPr>
            <w:tcW w:type="dxa" w:w="210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8"/>
              </w:rPr>
              <w:t>核心信任与互助网络</w:t>
            </w:r>
          </w:p>
        </w:tc>
        <w:tc>
          <w:tcPr>
            <w:tcW w:type="dxa" w:w="300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8"/>
              </w:rPr>
              <w:t>让“亲自用过”的有限经验帮助邻居作判断</w:t>
            </w:r>
          </w:p>
        </w:tc>
        <w:tc>
          <w:tcPr>
            <w:tcW w:type="dxa" w:w="2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8"/>
              </w:rPr>
              <w:t>推荐关系、证据、授权与人机责任</w:t>
            </w:r>
          </w:p>
        </w:tc>
      </w:tr>
      <w:tr>
        <w:tc>
          <w:tcPr>
            <w:tcW w:type="dxa" w:w="17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8"/>
              </w:rPr>
              <w:t>街坊味</w:t>
            </w:r>
          </w:p>
        </w:tc>
        <w:tc>
          <w:tcPr>
            <w:tcW w:type="dxa" w:w="210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8"/>
              </w:rPr>
              <w:t>社区供餐场景应用</w:t>
            </w:r>
          </w:p>
        </w:tc>
        <w:tc>
          <w:tcPr>
            <w:tcW w:type="dxa" w:w="300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8"/>
              </w:rPr>
              <w:t>整理微信里的菜单、预订、配送和线下收款记录</w:t>
            </w:r>
          </w:p>
        </w:tc>
        <w:tc>
          <w:tcPr>
            <w:tcW w:type="dxa" w:w="2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8"/>
              </w:rPr>
              <w:t>排菜、接单、履约和对账流程</w:t>
            </w:r>
          </w:p>
        </w:tc>
      </w:tr>
      <w:tr>
        <w:tc>
          <w:tcPr>
            <w:tcW w:type="dxa" w:w="17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8"/>
              </w:rPr>
              <w:t>楼道收一收</w:t>
            </w:r>
          </w:p>
        </w:tc>
        <w:tc>
          <w:tcPr>
            <w:tcW w:type="dxa" w:w="210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8"/>
              </w:rPr>
              <w:t>楼道协作场景应用</w:t>
            </w:r>
          </w:p>
        </w:tc>
        <w:tc>
          <w:tcPr>
            <w:tcW w:type="dxa" w:w="300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8"/>
              </w:rPr>
              <w:t>住户一次扫码告诉师傅哪层需要回收或打扫</w:t>
            </w:r>
          </w:p>
        </w:tc>
        <w:tc>
          <w:tcPr>
            <w:tcW w:type="dxa" w:w="2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8"/>
              </w:rPr>
              <w:t>极简上报、楼层待办和一键处理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共同原则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真实亲历优先：不做广告排行榜，也不把有限经验包装成平台担保。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人负责：AI 可以整理、匹配和代答，关键承诺仍由真人确认。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数据最少：不抓取微信群，不出售消费记录和关系链。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显式授权：分享、公开、跨应用传递和真人加入都需要用户主动操作。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先验证后扩展：未完成安全、合规与责任确认前，不直接扩大运营。</w:t>
      </w:r>
    </w:p>
    <w:p>
      <w:pPr>
        <w:pStyle w:val="Heading1"/>
        <w:keepNext/>
        <w:keepLines/>
        <w:pageBreakBefore/>
      </w:pPr>
      <w:r>
        <w:t>二、原型一：近邻互助组</w:t>
      </w:r>
    </w:p>
    <w:p>
      <w:pPr>
        <w:keepNext w:val="0"/>
        <w:spacing w:before="0" w:after="120" w:line="300" w:lineRule="auto"/>
        <w:jc w:val="both"/>
      </w:pPr>
      <w:r>
        <w:rPr>
          <w:rFonts w:ascii="Hiragino Sans GB" w:hAnsi="Hiragino Sans GB" w:eastAsia="Hiragino Sans GB"/>
          <w:b/>
          <w:i w:val="0"/>
          <w:color w:val="1F4D78"/>
          <w:sz w:val="23"/>
        </w:rPr>
        <w:t>把邻居“亲自用过”的消费与服务经历，变成可核对、可授权、可复用的互助资源。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83480" cy="2251465"/>
            <wp:docPr id="1" name="Picture 1" descr="近邻互助组客户体验原型：展示推荐关系、使用次数、最近时间与证据状态" title="近邻互助组客户体验原型：展示推荐关系、使用次数、最近时间与证据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近邻互助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25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 GB" w:hAnsi="Hiragino Sans GB" w:eastAsia="Hiragino Sans GB"/>
          <w:i/>
          <w:color w:val="666666"/>
          <w:sz w:val="18"/>
        </w:rPr>
        <w:t>交互原型画面（不接入真实业务数据）</w:t>
      </w:r>
    </w:p>
    <w:p>
      <w:pPr>
        <w:pStyle w:val="Heading2"/>
        <w:keepNext/>
        <w:keepLines/>
      </w:pPr>
      <w:r>
        <w:t>一个典型过程</w:t>
      </w:r>
    </w:p>
    <w:p>
      <w:pPr>
        <w:numPr>
          <w:ilvl w:val="0"/>
          <w:numId w:val="11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居民在原微信群提出真实需求，例如寻找水电维修师傅。</w:t>
      </w:r>
    </w:p>
    <w:p>
      <w:pPr>
        <w:numPr>
          <w:ilvl w:val="0"/>
          <w:numId w:val="11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亲自用过的邻居主动回应，并分享一张本人亲历卡。</w:t>
      </w:r>
    </w:p>
    <w:p>
      <w:pPr>
        <w:numPr>
          <w:ilvl w:val="0"/>
          <w:numId w:val="11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求助者看到推荐人、使用次数、最近时间、确认状态和本次匹配点。</w:t>
      </w:r>
    </w:p>
    <w:p>
      <w:pPr>
        <w:numPr>
          <w:ilvl w:val="0"/>
          <w:numId w:val="11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Agent 先收集现场信息；报价、时间和是否接单由服务者本人确认。</w:t>
      </w:r>
    </w:p>
    <w:p>
      <w:pPr>
        <w:numPr>
          <w:ilvl w:val="0"/>
          <w:numId w:val="11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服务完成后，求助者也可以保存自己的经历，未来继续帮助邻居。</w:t>
      </w:r>
    </w:p>
    <w:p>
      <w:pPr>
        <w:pStyle w:val="Heading2"/>
        <w:keepNext/>
        <w:keepLines/>
      </w:pPr>
      <w:r>
        <w:t>社区价值与边界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降低居民选择服务者时的信息不对称和踩坑风险。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让真实经验可复用，又不要求公开完整关系链或私人记忆。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把“谁说的、依据是什么、谁负责承诺”表达清楚。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边界：亲历不是质量保证；无推荐佣金或排名收益；不自动读群；新需求默认独立会话。</w:t>
      </w:r>
    </w:p>
    <w:p>
      <w:pPr>
        <w:pStyle w:val="Heading1"/>
        <w:keepNext/>
        <w:keepLines/>
        <w:pageBreakBefore/>
      </w:pPr>
      <w:r>
        <w:t>三、原型二：街坊味</w:t>
      </w:r>
    </w:p>
    <w:p>
      <w:pPr>
        <w:keepNext w:val="0"/>
        <w:spacing w:before="0" w:after="120" w:line="300" w:lineRule="auto"/>
        <w:jc w:val="both"/>
      </w:pPr>
      <w:r>
        <w:rPr>
          <w:rFonts w:ascii="Hiragino Sans GB" w:hAnsi="Hiragino Sans GB" w:eastAsia="Hiragino Sans GB"/>
          <w:b/>
          <w:i w:val="0"/>
          <w:color w:val="1F4D78"/>
          <w:sz w:val="23"/>
        </w:rPr>
        <w:t>帮助社区里的小规模供餐者，把每周菜单、邻里预订、配送履约和线下收款记录整理到一条清楚的流程里。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83480" cy="2251465"/>
            <wp:docPr id="2" name="Picture 2" descr="街坊味客户体验原型：顾客微信私聊后由供餐者代录订单并回传订单卡" title="街坊味客户体验原型：顾客微信私聊后由供餐者代录订单并回传订单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街坊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25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 GB" w:hAnsi="Hiragino Sans GB" w:eastAsia="Hiragino Sans GB"/>
          <w:i/>
          <w:color w:val="666666"/>
          <w:sz w:val="18"/>
        </w:rPr>
        <w:t>交互原型画面（不接入真实业务数据）</w:t>
      </w:r>
    </w:p>
    <w:p>
      <w:pPr>
        <w:pStyle w:val="Heading2"/>
        <w:keepNext/>
        <w:keepLines/>
      </w:pPr>
      <w:r>
        <w:t>当前原型覆盖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从供餐者已经确认的菜品池中，一次生成并调整五天午、晚餐菜单。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按餐次生成微信分享卡，邻居仍可通过熟悉的微信入口查看和预订。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把顾客自助下单、供餐者代录和既有订餐约定汇总到统一订单中。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显示每餐需要准备多少份、送给谁，并记录配送和线下收款核对状态。</w:t>
      </w:r>
    </w:p>
    <w:p>
      <w:pPr>
        <w:pStyle w:val="Heading2"/>
        <w:keepNext/>
        <w:keepLines/>
      </w:pPr>
      <w:r>
        <w:t>社区价值与合规边界</w:t>
      </w:r>
    </w:p>
    <w:p>
      <w:pPr>
        <w:keepNext w:val="0"/>
        <w:spacing w:before="0" w:after="40" w:line="300" w:lineRule="auto"/>
        <w:jc w:val="both"/>
      </w:pPr>
      <w:r>
        <w:rPr>
          <w:rFonts w:ascii="Hiragino Sans GB" w:hAnsi="Hiragino Sans GB" w:eastAsia="Hiragino Sans GB"/>
          <w:b w:val="0"/>
          <w:i w:val="0"/>
          <w:color w:val="1B1B1B"/>
          <w:sz w:val="21"/>
        </w:rPr>
        <w:t>减少依赖群接龙、私聊和个人记忆造成的漏单、漏送、漏记录；让已有的邻里供餐关系更有秩序，而不是建立面向全城的外卖流量平台。</w:t>
      </w:r>
    </w:p>
    <w:p>
      <w:pPr>
        <w:keepNext w:val="0"/>
        <w:spacing w:before="0" w:after="0" w:line="276" w:lineRule="auto"/>
        <w:jc w:val="both"/>
      </w:pPr>
      <w:r>
        <w:rPr>
          <w:rFonts w:ascii="Hiragino Sans GB" w:hAnsi="Hiragino Sans GB" w:eastAsia="Hiragino Sans GB"/>
          <w:b w:val="0"/>
          <w:i w:val="0"/>
          <w:color w:val="666666"/>
          <w:sz w:val="19"/>
        </w:rPr>
        <w:t>当前仅为流程原型，不代表社区已经开展供餐业务。任何真实试点前，都应先明确食品安全、经营许可、场地和主体责任等条件；在此之前更适合做需求访谈和流程演示。</w:t>
      </w:r>
    </w:p>
    <w:p>
      <w:pPr>
        <w:pStyle w:val="Heading1"/>
        <w:keepNext/>
        <w:keepLines/>
        <w:pageBreakBefore/>
      </w:pPr>
      <w:r>
        <w:t>四、原型三：楼道收一收</w:t>
      </w:r>
    </w:p>
    <w:p>
      <w:pPr>
        <w:keepNext w:val="0"/>
        <w:spacing w:before="0" w:after="120" w:line="300" w:lineRule="auto"/>
        <w:jc w:val="both"/>
      </w:pPr>
      <w:r>
        <w:rPr>
          <w:rFonts w:ascii="Hiragino Sans GB" w:hAnsi="Hiragino Sans GB" w:eastAsia="Hiragino Sans GB"/>
          <w:b/>
          <w:i w:val="0"/>
          <w:color w:val="1F4D78"/>
          <w:sz w:val="23"/>
        </w:rPr>
        <w:t>住户扫一下本层二维码，选择“回收”或“打扫”；师傅看到待处理楼层，处理完成后点一下销单。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96055"/>
            <wp:docPr id="3" name="Picture 3" descr="楼道收一收原型：师傅端楼层面板显示待回收或待打扫楼层" title="楼道收一收原型：师傅端楼层面板显示待回收或待打扫楼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楼道收一收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 GB" w:hAnsi="Hiragino Sans GB" w:eastAsia="Hiragino Sans GB"/>
          <w:i/>
          <w:color w:val="666666"/>
          <w:sz w:val="18"/>
        </w:rPr>
        <w:t>交互原型画面（不接入真实业务数据）</w:t>
      </w:r>
    </w:p>
    <w:p>
      <w:pPr>
        <w:pStyle w:val="Heading2"/>
        <w:keepNext/>
        <w:keepLines/>
      </w:pPr>
      <w:r>
        <w:t>为什么适合先试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问题具体：师傅不知道哪层有纸箱、瓶子或需要打扫，只能逐层查看或靠口头通知。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操作极简：二维码已带楼栋和楼层，住户不填表、不选楼层、不必登录。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数据克制：不记录姓名、门牌、手机号、重量、价格、付款、积分或聊天。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结果可测：可以直接观察扫码耗时、漏收情况、处理效率和误操作率。</w:t>
      </w:r>
    </w:p>
    <w:p>
      <w:pPr>
        <w:pStyle w:val="Heading2"/>
        <w:keepNext/>
        <w:keepLines/>
      </w:pPr>
      <w:r>
        <w:t>建议的 2 周小试点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建议</w:t>
            </w:r>
          </w:p>
        </w:tc>
      </w:tr>
      <w:tr>
        <w:tc>
          <w:tcPr>
            <w:tcW w:type="dxa" w:w="18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9"/>
              </w:rPr>
              <w:t>范围</w:t>
            </w:r>
          </w:p>
        </w:tc>
        <w:tc>
          <w:tcPr>
            <w:tcW w:type="dxa" w:w="7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9"/>
              </w:rPr>
              <w:t>1 个小区的 1 栋楼；1 名主要处理人员；约 20–50 户自愿参与</w:t>
            </w:r>
          </w:p>
        </w:tc>
      </w:tr>
      <w:tr>
        <w:tc>
          <w:tcPr>
            <w:tcW w:type="dxa" w:w="18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9"/>
              </w:rPr>
              <w:t>准备</w:t>
            </w:r>
          </w:p>
        </w:tc>
        <w:tc>
          <w:tcPr>
            <w:tcW w:type="dxa" w:w="7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9"/>
              </w:rPr>
              <w:t>确认放置点；每层张贴唯一二维码；培训师傅使用楼层待办</w:t>
            </w:r>
          </w:p>
        </w:tc>
      </w:tr>
      <w:tr>
        <w:tc>
          <w:tcPr>
            <w:tcW w:type="dxa" w:w="18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9"/>
              </w:rPr>
              <w:t>运行</w:t>
            </w:r>
          </w:p>
        </w:tc>
        <w:tc>
          <w:tcPr>
            <w:tcW w:type="dxa" w:w="7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9"/>
              </w:rPr>
              <w:t>同楼层提醒合并；处理后点“收好了”；点错可恢复</w:t>
            </w:r>
          </w:p>
        </w:tc>
      </w:tr>
      <w:tr>
        <w:tc>
          <w:tcPr>
            <w:tcW w:type="dxa" w:w="18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9"/>
              </w:rPr>
              <w:t>复盘</w:t>
            </w:r>
          </w:p>
        </w:tc>
        <w:tc>
          <w:tcPr>
            <w:tcW w:type="dxa" w:w="7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9"/>
              </w:rPr>
              <w:t>第 3 天快速检查；第 14 天共同评估继续、调整或停止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/>
      </w:pPr>
      <w:r>
        <w:t>五、建议的合作方式</w:t>
      </w:r>
    </w:p>
    <w:p>
      <w:pPr>
        <w:pStyle w:val="Heading2"/>
        <w:keepNext/>
        <w:keepLines/>
      </w:pPr>
      <w:r>
        <w:t>阶段 1｜现场了解（约半天）</w:t>
      </w:r>
    </w:p>
    <w:p>
      <w:pPr>
        <w:keepNext w:val="0"/>
        <w:spacing w:before="0" w:after="100" w:line="300" w:lineRule="auto"/>
        <w:jc w:val="both"/>
      </w:pPr>
      <w:r>
        <w:rPr>
          <w:rFonts w:ascii="Hiragino Sans GB" w:hAnsi="Hiragino Sans GB" w:eastAsia="Hiragino Sans GB"/>
          <w:b w:val="0"/>
          <w:i w:val="0"/>
          <w:color w:val="1B1B1B"/>
          <w:sz w:val="21"/>
        </w:rPr>
        <w:t>与社区、物业和实际服务人员确认当前流程、痛点和责任边界；选择一个参与者自愿、可以随时停止的点位。</w:t>
      </w:r>
    </w:p>
    <w:p>
      <w:pPr>
        <w:pStyle w:val="Heading2"/>
        <w:keepNext/>
        <w:keepLines/>
      </w:pPr>
      <w:r>
        <w:t>阶段 2｜原型适配与小试点（约 2 周）</w:t>
      </w:r>
    </w:p>
    <w:p>
      <w:pPr>
        <w:keepNext w:val="0"/>
        <w:spacing w:before="0" w:after="100" w:line="300" w:lineRule="auto"/>
        <w:jc w:val="both"/>
      </w:pPr>
      <w:r>
        <w:rPr>
          <w:rFonts w:ascii="Hiragino Sans GB" w:hAnsi="Hiragino Sans GB" w:eastAsia="Hiragino Sans GB"/>
          <w:b w:val="0"/>
          <w:i w:val="0"/>
          <w:color w:val="1B1B1B"/>
          <w:sz w:val="21"/>
        </w:rPr>
        <w:t>发起团队调整原型、二维码物料和操作说明；社区/物业协助触达参与者；仅收集完成验证所需的最少运行数据和反馈。</w:t>
      </w:r>
    </w:p>
    <w:p>
      <w:pPr>
        <w:pStyle w:val="Heading2"/>
        <w:keepNext/>
        <w:keepLines/>
      </w:pPr>
      <w:r>
        <w:t>阶段 3｜共同复盘</w:t>
      </w:r>
    </w:p>
    <w:p>
      <w:pPr>
        <w:keepNext w:val="0"/>
        <w:spacing w:before="0" w:after="100" w:line="300" w:lineRule="auto"/>
        <w:jc w:val="both"/>
      </w:pPr>
      <w:r>
        <w:rPr>
          <w:rFonts w:ascii="Hiragino Sans GB" w:hAnsi="Hiragino Sans GB" w:eastAsia="Hiragino Sans GB"/>
          <w:b w:val="0"/>
          <w:i w:val="0"/>
          <w:color w:val="1B1B1B"/>
          <w:sz w:val="21"/>
        </w:rPr>
        <w:t>对照预先约定的指标判断是否真正减少沟通成本和漏处理；共同决定继续迭代、换场景验证或停止。</w:t>
      </w:r>
    </w:p>
    <w:p>
      <w:pPr>
        <w:pStyle w:val="Heading2"/>
        <w:keepNext/>
        <w:keepLines/>
      </w:pPr>
      <w:r>
        <w:t>建议分工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参与方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建议承担的工作</w:t>
            </w:r>
          </w:p>
        </w:tc>
      </w:tr>
      <w:tr>
        <w:tc>
          <w:tcPr>
            <w:tcW w:type="dxa" w:w="18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9"/>
              </w:rPr>
              <w:t>社区/街道</w:t>
            </w:r>
          </w:p>
        </w:tc>
        <w:tc>
          <w:tcPr>
            <w:tcW w:type="dxa" w:w="7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9"/>
              </w:rPr>
              <w:t>指定联系人；协调物业、服务人员和居民访谈；提示政策与公共治理边界；参与复盘</w:t>
            </w:r>
          </w:p>
        </w:tc>
      </w:tr>
      <w:tr>
        <w:tc>
          <w:tcPr>
            <w:tcW w:type="dxa" w:w="18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9"/>
              </w:rPr>
              <w:t>发起团队</w:t>
            </w:r>
          </w:p>
        </w:tc>
        <w:tc>
          <w:tcPr>
            <w:tcW w:type="dxa" w:w="7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9"/>
              </w:rPr>
              <w:t>需求访谈、原型适配、二维码和说明物料、试点支持、数据最小化、结果整理</w:t>
            </w:r>
          </w:p>
        </w:tc>
      </w:tr>
      <w:tr>
        <w:tc>
          <w:tcPr>
            <w:tcW w:type="dxa" w:w="18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9"/>
              </w:rPr>
              <w:t>物业/服务人员</w:t>
            </w:r>
          </w:p>
        </w:tc>
        <w:tc>
          <w:tcPr>
            <w:tcW w:type="dxa" w:w="7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9"/>
              </w:rPr>
              <w:t>确认真实工作流程；使用待办和销单；反馈操作困难、漏处理和异常情况</w:t>
            </w:r>
          </w:p>
        </w:tc>
      </w:tr>
      <w:tr>
        <w:tc>
          <w:tcPr>
            <w:tcW w:type="dxa" w:w="1800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B1B1B"/>
                <w:sz w:val="19"/>
              </w:rPr>
              <w:t>居民</w:t>
            </w:r>
          </w:p>
        </w:tc>
        <w:tc>
          <w:tcPr>
            <w:tcW w:type="dxa" w:w="7560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B1B1B"/>
                <w:sz w:val="19"/>
              </w:rPr>
              <w:t>自愿参与；按约定上报；反馈是否易懂、是否愿意继续使用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未经共同确认，本次不做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不公开上线，不向全小区推广，不接入真实收费。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不收集与试点无关的姓名、门牌、手机号或聊天记录。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不抓取微信群内容，不把居民关系用于广告或商业推荐。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不把原型效果当成生产系统的安全、稳定或合规证明。</w:t>
      </w:r>
    </w:p>
    <w:p>
      <w:pPr>
        <w:pStyle w:val="ListBullet"/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不在食品安全和经营责任未明确前开展真实供餐运营。</w:t>
      </w:r>
    </w:p>
    <w:p>
      <w:pPr>
        <w:pStyle w:val="Heading2"/>
        <w:keepNext/>
        <w:keepLines/>
      </w:pPr>
      <w:r>
        <w:t>希望当面沟通的四个问题</w:t>
      </w:r>
    </w:p>
    <w:p>
      <w:pPr>
        <w:numPr>
          <w:ilvl w:val="0"/>
          <w:numId w:val="12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当前社区最希望降低沟通成本的一个小问题是什么？</w:t>
      </w:r>
    </w:p>
    <w:p>
      <w:pPr>
        <w:numPr>
          <w:ilvl w:val="0"/>
          <w:numId w:val="12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“楼道收一收”是否有合适的楼栋、物业或回收/保洁人员愿意一起验证？</w:t>
      </w:r>
    </w:p>
    <w:p>
      <w:pPr>
        <w:numPr>
          <w:ilvl w:val="0"/>
          <w:numId w:val="12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社区对居民告知、二维码张贴、数据使用和试点退出有哪些要求？</w:t>
      </w:r>
    </w:p>
    <w:p>
      <w:pPr>
        <w:numPr>
          <w:ilvl w:val="0"/>
          <w:numId w:val="12"/>
        </w:numPr>
        <w:spacing w:after="40" w:line="276" w:lineRule="auto"/>
        <w:ind w:left="540" w:hanging="279"/>
      </w:pPr>
      <w:r>
        <w:rPr>
          <w:rFonts w:ascii="Hiragino Sans GB" w:hAnsi="Hiragino Sans GB" w:eastAsia="Hiragino Sans GB"/>
          <w:color w:val="1B1B1B"/>
          <w:sz w:val="20"/>
        </w:rPr>
        <w:t>如果第一轮有效，下一步更适合验证服务亲历，还是其他更迫切的场景？</w:t>
      </w:r>
    </w:p>
    <w:p>
      <w:pPr>
        <w:spacing w:before="80" w:after="160"/>
        <w:jc w:val="center"/>
      </w:pPr>
      <w:r>
        <w:rPr>
          <w:rFonts w:ascii="Hiragino Sans GB" w:hAnsi="Hiragino Sans GB" w:eastAsia="Hiragino Sans GB"/>
          <w:b/>
          <w:color w:val="666666"/>
          <w:sz w:val="21"/>
        </w:rPr>
        <w:t>三个原型在线体验：</w:t>
      </w:r>
      <w:hyperlink r:id="rId14">
        <w:r>
          <w:rPr>
            <w:rFonts w:ascii="Hiragino Sans GB" w:hAnsi="Hiragino Sans GB" w:eastAsia="Hiragino Sans GB"/>
            <w:color w:val="2E74B5"/>
            <w:u w:val="single"/>
          </w:rPr>
          <w:t>http://ideal.codeforpeople.cn/</w:t>
        </w:r>
      </w:hyperlink>
    </w:p>
    <w:p>
      <w:pPr>
        <w:keepNext w:val="0"/>
        <w:spacing w:before="120" w:after="0" w:line="300" w:lineRule="auto"/>
        <w:jc w:val="center"/>
      </w:pPr>
      <w:r>
        <w:rPr>
          <w:rFonts w:ascii="Hiragino Sans GB" w:hAnsi="Hiragino Sans GB" w:eastAsia="Hiragino Sans GB"/>
          <w:b w:val="0"/>
          <w:i/>
          <w:color w:val="666666"/>
          <w:sz w:val="19"/>
        </w:rPr>
        <w:t>再次说明：全部页面均为交互原型，不接入真实业务数据。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iragino Sans GB" w:hAnsi="Hiragino Sans GB" w:eastAsia="Hiragino Sans GB"/>
        <w:color w:val="666666"/>
        <w:sz w:val="18"/>
      </w:rPr>
      <w:t xml:space="preserve">码成仝 · 原型交流版  |  </w:t>
    </w:r>
    <w:r>
      <w:rPr>
        <w:rFonts w:ascii="Hiragino Sans GB" w:hAnsi="Hiragino Sans GB" w:eastAsia="Hiragino Sans GB"/>
        <w:color w:val="666666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Hiragino Sans GB" w:hAnsi="Hiragino Sans GB" w:eastAsia="Hiragino Sans GB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Hiragino Sans GB" w:hAnsi="Hiragino Sans GB" w:eastAsia="Hiragino Sans GB"/>
        <w:color w:val="666666"/>
        <w:sz w:val="18"/>
      </w:rPr>
      <w:t>近邻互助组｜社区合作沟通材料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both"/>
    </w:pPr>
    <w:rPr>
      <w:rFonts w:ascii="Hiragino Sans GB" w:hAnsi="Hiragino Sans GB" w:eastAsia="Hiragino Sans GB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ind w:left="540" w:hanging="279"/>
      <w:contextualSpacing/>
    </w:pPr>
    <w:rPr>
      <w:rFonts w:ascii="Hiragino Sans GB" w:hAnsi="Hiragino Sans GB" w:eastAsia="Hiragino Sans G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ind w:left="540" w:hanging="279"/>
      <w:contextualSpacing/>
    </w:pPr>
    <w:rPr>
      <w:rFonts w:ascii="Hiragino Sans GB" w:hAnsi="Hiragino Sans GB" w:eastAsia="Hiragino Sans G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://ideal.codeforpeople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近邻互助组｜社区合作沟通材料</dc:title>
  <dc:subject>供布吉街道及相关社区交流的试点讨论稿</dc:subject>
  <dc:creator>码成仝</dc:creator>
  <cp:keywords>近邻互助组, 社区互助, 街坊味, 楼道收一收, 社区试点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