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My Internet Search Path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Google: “southeast regional mosquito control workshop” </w:t>
      </w:r>
      <w:r w:rsidDel="00000000" w:rsidR="00000000" w:rsidRPr="00000000">
        <w:rPr>
          <w:rFonts w:ascii="Arial Unicode MS" w:cs="Arial Unicode MS" w:eastAsia="Arial Unicode MS" w:hAnsi="Arial Unicode MS"/>
          <w:color w:val="ff0000"/>
          <w:rtl w:val="0"/>
        </w:rPr>
        <w:t xml:space="preserve">→</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hyperlink r:id="rId5">
        <w:r w:rsidDel="00000000" w:rsidR="00000000" w:rsidRPr="00000000">
          <w:rPr>
            <w:color w:val="1155cc"/>
            <w:u w:val="single"/>
            <w:rtl w:val="0"/>
          </w:rPr>
          <w:t xml:space="preserve">http://www.pherec.org</w:t>
        </w:r>
      </w:hyperlink>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hyperlink r:id="rId6">
        <w:r w:rsidDel="00000000" w:rsidR="00000000" w:rsidRPr="00000000">
          <w:rPr>
            <w:color w:val="1155cc"/>
            <w:u w:val="single"/>
            <w:rtl w:val="0"/>
          </w:rPr>
          <w:t xml:space="preserve">http://www.pherec.org/wp-content/uploads/2014/06/Smith-John-CV-June-3-2014.pdf</w:t>
        </w:r>
      </w:hyperlink>
      <w:r w:rsidDel="00000000" w:rsidR="00000000" w:rsidRPr="00000000">
        <w:rPr>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Google “American Mosquito Control Association”  </w:t>
      </w:r>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hyperlink r:id="rId7">
        <w:r w:rsidDel="00000000" w:rsidR="00000000" w:rsidRPr="00000000">
          <w:rPr>
            <w:color w:val="1155cc"/>
            <w:u w:val="single"/>
            <w:rtl w:val="0"/>
          </w:rPr>
          <w:t xml:space="preserve">http://www.mosquito.org/</w:t>
        </w:r>
      </w:hyperlink>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hyperlink r:id="rId8">
        <w:r w:rsidDel="00000000" w:rsidR="00000000" w:rsidRPr="00000000">
          <w:rPr>
            <w:color w:val="1155cc"/>
            <w:u w:val="single"/>
            <w:rtl w:val="0"/>
          </w:rPr>
          <w:t xml:space="preserve">NEW!! Click here to view AMCA's Best Practices for Integrated Mosquito Management Manual, 2017.</w:t>
        </w:r>
      </w:hyperlink>
      <w:r w:rsidDel="00000000" w:rsidR="00000000" w:rsidRPr="00000000">
        <w:rPr>
          <w:rtl w:val="0"/>
        </w:rPr>
        <w:t xml:space="preserve">  [excerpts below]</w:t>
      </w:r>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 #48 from AMCA’s BMP:</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Smith DL, Perkins TA, Reiner RC, Jr., et al. Recasting the theory of mosquito-borne pathogen transmission dynamics and control. Trans R Soc Trop Med Hyg. 2014;108(4):185-197</w:t>
        </w:r>
      </w:hyperlink>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Google Scholar search on Smith et. al. (2014) above link from title.  [excerpts below]</w:t>
      </w:r>
      <w:r w:rsidDel="00000000" w:rsidR="00000000" w:rsidRPr="00000000">
        <w:rPr>
          <w:rFonts w:ascii="Arial Unicode MS" w:cs="Arial Unicode MS" w:eastAsia="Arial Unicode MS" w:hAnsi="Arial Unicode MS"/>
          <w:color w:val="ff0000"/>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Google Scholar citation list for Smith et. al. (2014):</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https://scholar.google.com/scholar?cites=7021969550325174614&amp;as_sdt=40005&amp;sciodt=0,10&amp;hl=en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LaDeau, Shannon L., et al. "The ecological foundations of transmission potential and vector‐borne disease in urban landscapes." Functional ecology 29.7 (2015): 889-901.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Fonts w:ascii="Arial Unicode MS" w:cs="Arial Unicode MS" w:eastAsia="Arial Unicode MS" w:hAnsi="Arial Unicode MS"/>
          <w:color w:val="ff0000"/>
          <w:rtl w:val="0"/>
        </w:rPr>
        <w:t xml:space="preserve">→</w:t>
      </w:r>
    </w:p>
    <w:p w:rsidR="00000000" w:rsidDel="00000000" w:rsidP="00000000" w:rsidRDefault="00000000" w:rsidRPr="00000000">
      <w:pPr>
        <w:contextualSpacing w:val="0"/>
        <w:rPr/>
      </w:pPr>
      <w:r w:rsidDel="00000000" w:rsidR="00000000" w:rsidRPr="00000000">
        <w:rPr>
          <w:rtl w:val="0"/>
        </w:rPr>
        <w:t xml:space="preserve">A new world malaria map: Plasmodium falciparum endemicity in 2010</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https://malariajournal.biomedcentral.com/articles/10.1186/1475-2875-10-378</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AMCA BMP </w:t>
      </w:r>
      <w:r w:rsidDel="00000000" w:rsidR="00000000" w:rsidRPr="00000000">
        <w:rPr>
          <w:rFonts w:ascii="Arial Unicode MS" w:cs="Arial Unicode MS" w:eastAsia="Arial Unicode MS" w:hAnsi="Arial Unicode MS"/>
          <w:color w:val="ff0000"/>
          <w:rtl w:val="0"/>
        </w:rPr>
        <w:t xml:space="preserve">→</w:t>
      </w:r>
      <w:r w:rsidDel="00000000" w:rsidR="00000000" w:rsidRPr="00000000">
        <w:rPr>
          <w:rtl w:val="0"/>
        </w:rPr>
        <w:t xml:space="preserve"> ref 41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California Department of Public Health MaVCAoC, University of California. California Mosquito-Borne Virus Surveillance and Response Plan.; 2017; 62 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Notes on “amca guidelines final_pdf.pdf”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BEST PRACTICES FOR INTEGRATED MOSQUITO MANAGEMENT: A FOCUSED UPDATE</w:t>
        <w:br w:type="textWrapping"/>
        <w:t xml:space="preserve">American Mosquito Control Association January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URL:</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https://amca.memberclicks.net/assets/HomePage/amca%20guidelines%20final_pdf.pdf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Page numbers refer to pdf count, not document page numbers.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Excerpts: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Page 25: </w:t>
      </w:r>
    </w:p>
    <w:p w:rsidR="00000000" w:rsidDel="00000000" w:rsidP="00000000" w:rsidRDefault="00000000" w:rsidRPr="00000000">
      <w:pPr>
        <w:contextualSpacing w:val="0"/>
        <w:rPr/>
      </w:pPr>
      <w:r w:rsidDel="00000000" w:rsidR="00000000" w:rsidRPr="00000000">
        <w:rPr>
          <w:rtl w:val="0"/>
        </w:rPr>
        <w:t xml:space="preserve">In addition to mapping raw data, it is often necessary to perform data analyses that integrate the information from one or more elements of mosquito surveillance and control programs. Spatial tools can provide useful indications to help prioritize public mosquito control measures in areas where nuisance, human-mosquito contact and risk of local arbovirus transmission are likely to be highest. This may include using simple risk models to integrate several surveillance data sets (41) or spatial analyses that help to clarify the relationship between multiple layers of spatial data. For example, GIS has been employed in many areas to understand local factors associated with Aedes distribution and abundance. (5,7,8,42-46) </w:t>
      </w:r>
      <w:r w:rsidDel="00000000" w:rsidR="00000000" w:rsidRPr="00000000">
        <w:rPr>
          <w:b w:val="1"/>
          <w:rtl w:val="0"/>
        </w:rPr>
        <w:t xml:space="preserve">More formal data analysis can also be done by modeling, integrating GIS data with standard statistical or mathematical models that capture the dynamics of mosquito populations or pathogen transmission. (47,48)</w:t>
      </w:r>
      <w:r w:rsidDel="00000000" w:rsidR="00000000" w:rsidRPr="00000000">
        <w:rPr>
          <w:rtl w:val="0"/>
        </w:rPr>
        <w:t xml:space="preserve"> Detailed description of methods for spatial data analysis is beyond the scope of these recommendations.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tabs>
          <w:tab w:val="left" w:pos="540"/>
        </w:tabs>
        <w:contextualSpacing w:val="0"/>
        <w:rPr/>
      </w:pPr>
      <w:r w:rsidDel="00000000" w:rsidR="00000000" w:rsidRPr="00000000">
        <w:rPr>
          <w:rtl w:val="0"/>
        </w:rPr>
        <w:t xml:space="preserve">5. United States Centers for Disease Control. Surveillance and Control of Aedes aegypti and Aedes albopictus in the United States. http://www.cdc.gov/chikungunya/pdfs/surveillance-and-control-of-aedes-aegypti-and-aedes-albopictus-us.pdf. Accessed November 15, 2016.</w:t>
      </w:r>
    </w:p>
    <w:p w:rsidR="00000000" w:rsidDel="00000000" w:rsidP="00000000" w:rsidRDefault="00000000" w:rsidRPr="00000000">
      <w:pPr>
        <w:tabs>
          <w:tab w:val="left" w:pos="540"/>
        </w:tabs>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Hayes EB, Komar N, Nasci RS, Montgomery SP, O'Leary DR, Campbell GL. Epidemiology and transmission dynamics of West Nile virus disease. Emerg Infect Dis. 2005;11(8):1167-1173.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World Health Organization. Dengue haemorrhagic fever: Diagnosis, treatment, prevention and control. Second edition. 1997.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Connely CR, Carlson DB, eds. 2009. Florida Coordinating Council on Mosquito Control. Florida Mosquito Control: The state of the mission as defined by mosquito controllers, regulators, and environmental managers. Vero Beach, FL: University of Florida, Institute of Food and Agricultural Sciences, Florida Medical Entomology Laboratory.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41. California Department of Public Health MaVCAoC, University of California. California Mosquito-Borne Virus Surveillance and Response Plan.; 2014. </w:t>
      </w:r>
      <w:hyperlink r:id="rId14">
        <w:r w:rsidDel="00000000" w:rsidR="00000000" w:rsidRPr="00000000">
          <w:rPr>
            <w:color w:val="1155cc"/>
            <w:u w:val="single"/>
            <w:rtl w:val="0"/>
          </w:rPr>
          <w:t xml:space="preserve">http://westnile.ca.gov/downloads.php?download_id=2958&amp;filename=2014CAResponsePlan.pdf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Accessed January 12, 2017. (http://westnile.ca.gov/)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42. Manica M, Filipponi F, D'Alessandro A, et al. Spatial and Temporal Hot Spots of Aedes albopictus Abundance inside and outside a South European Metropolitan Area. PLoS Negl Trop Dis. 2016;10(6):e0004758.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43. Ferwerda C. Characterizing the relationship between Asian tiger mosquito abundance and habitat in urban New Jersey. MSc, Rutgers University New Brunswick, NJ. 2009.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44. Dowling Z, Ladeau SL, Armbruster P, Biehler D, Leisnham PT. Socioeconomic status affects mosquito (Diptera: Culicidae) larval habitat type availability and infestation level. J Med Entomol. 2013;50(4):764-772.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45. Barker CM, Paulson SL, Cantrell S, Davis BS. Habitat preferences and phenology of Ochlerotatus triseriatus and Aedes albopictus (Diptera: Culicidae) in southwestern Virginia. J Med Entomol. 2003;40(4):403-410.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46. Barker CM, Brewster CC, Paulson SL. Spatiotemporal oviposition and habitat preferences of Ochlerotatus triseriatus and Aedes albopictus in an emerging focus of La Crosse virus. J Am Mosq Control Assoc. 2003;19(4):382-391.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47. Reiner RC, Jr., Perkins TA, Barker CM, et al. A systematic review of mathematical models of mosquito-borne pathogen transmission: 1970-2010. J R Soc Interface. 2013;10(81):20120921.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48. Smith DL, Perkins TA, Reiner RC, Jr., et al. Recasting the theory of mosquito-borne pathogen transmission dynamics and control. Trans R Soc Trop Med Hyg. 2014;108(4):185-197. </w:t>
      </w:r>
      <w:hyperlink r:id="rId15">
        <w:r w:rsidDel="00000000" w:rsidR="00000000" w:rsidRPr="00000000">
          <w:rPr>
            <w:color w:val="1155cc"/>
            <w:u w:val="single"/>
            <w:rtl w:val="0"/>
          </w:rPr>
          <w:t xml:space="preserve">https://academic.oup.com/trstmh/article/108/4/185/1924536/Recasting-the-theory-of-mosquito-borne-pathogen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Abstract (for #48)</w:t>
      </w:r>
      <w:r w:rsidDel="00000000" w:rsidR="00000000" w:rsidRPr="00000000">
        <w:rPr>
          <w:rtl w:val="0"/>
        </w:rPr>
        <w:br w:type="textWrapping"/>
        <w:t xml:space="preserve">Mosquito-borne diseases pose some of the greatest challenges in public health, especially in tropical and sub-tropical regions of the world. Efforts to control these diseases have been underpinned by a theoretical framework developed for malaria by Ross and Macdonald, including models, metrics for measuring transmission, and theory of control that identifies key vulnerabilities in the transmission cycle. That framework, especially Macdonald's formula for R0 and its entomological derivative, vectorial capacity, are now used to study dynamics and design interventions for many mosquito-borne diseases. A systematic review of 388 models published between 1970 and 2010 found that the vast majority adopted the Ross–Macdonald assumption of homogeneous transmission in a well-mixed population. Studies comparing models and data question these assumptions and point to the capacity to model heterogeneous, focal transmission as the most important but relatively unexplored component in current theory. </w:t>
      </w:r>
      <w:r w:rsidDel="00000000" w:rsidR="00000000" w:rsidRPr="00000000">
        <w:rPr>
          <w:b w:val="1"/>
          <w:rtl w:val="0"/>
        </w:rPr>
        <w:t xml:space="preserve">Fine-scale heterogeneity causes transmission dynamics to be nonlinear, and poses problems for modeling, epidemiology and measurement. Novel mathematical approaches show how heterogeneity arises from the biology and the landscape on which the processes of mosquito biting and pathogen transmission unfold.</w:t>
      </w:r>
      <w:r w:rsidDel="00000000" w:rsidR="00000000" w:rsidRPr="00000000">
        <w:rPr>
          <w:rtl w:val="0"/>
        </w:rPr>
        <w:t xml:space="preserve"> Emerging theory focuses attention on the ecological and social context for mosquito blood feeding, the movement of both hosts and mosquitoes, and the relevant spatial scales for measuring transmission and for modeling dynamics and control.</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Modern theory</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 more recent trend that complements modeling studies is the creation, curation, and analysis of </w:t>
      </w:r>
      <w:r w:rsidDel="00000000" w:rsidR="00000000" w:rsidRPr="00000000">
        <w:rPr>
          <w:rFonts w:ascii="Times New Roman" w:cs="Times New Roman" w:eastAsia="Times New Roman" w:hAnsi="Times New Roman"/>
          <w:b w:val="1"/>
          <w:color w:val="2a2a2a"/>
          <w:sz w:val="24"/>
          <w:szCs w:val="24"/>
          <w:highlight w:val="white"/>
          <w:rtl w:val="0"/>
        </w:rPr>
        <w:t xml:space="preserve">databases describing MBPT, including mosquito bionomics, transmission metrics, and other important variables accumulated over more than a century of investigations.</w:t>
      </w:r>
      <w:r w:rsidDel="00000000" w:rsidR="00000000" w:rsidRPr="00000000">
        <w:rPr>
          <w:b w:val="1"/>
          <w:color w:val="006fb7"/>
          <w:sz w:val="17"/>
          <w:szCs w:val="17"/>
          <w:highlight w:val="white"/>
          <w:rtl w:val="0"/>
        </w:rPr>
        <w:t xml:space="preserve">70–73</w:t>
      </w:r>
      <w:r w:rsidDel="00000000" w:rsidR="00000000" w:rsidRPr="00000000">
        <w:rPr>
          <w:rFonts w:ascii="Times New Roman" w:cs="Times New Roman" w:eastAsia="Times New Roman" w:hAnsi="Times New Roman"/>
          <w:color w:val="2a2a2a"/>
          <w:sz w:val="24"/>
          <w:szCs w:val="24"/>
          <w:highlight w:val="white"/>
          <w:rtl w:val="0"/>
        </w:rPr>
        <w:t xml:space="preserve"> Mosquito ecology and MBPT are highly heterogeneous over space and time.</w:t>
      </w:r>
      <w:r w:rsidDel="00000000" w:rsidR="00000000" w:rsidRPr="00000000">
        <w:rPr>
          <w:color w:val="006fb7"/>
          <w:sz w:val="17"/>
          <w:szCs w:val="17"/>
          <w:highlight w:val="white"/>
          <w:rtl w:val="0"/>
        </w:rPr>
        <w:t xml:space="preserve">74–77</w:t>
      </w:r>
      <w:r w:rsidDel="00000000" w:rsidR="00000000" w:rsidRPr="00000000">
        <w:rPr>
          <w:rFonts w:ascii="Times New Roman" w:cs="Times New Roman" w:eastAsia="Times New Roman" w:hAnsi="Times New Roman"/>
          <w:color w:val="2a2a2a"/>
          <w:sz w:val="24"/>
          <w:szCs w:val="24"/>
          <w:highlight w:val="white"/>
          <w:rtl w:val="0"/>
        </w:rPr>
        <w:t xml:space="preserve"> At a large scale, it is important to know where transmission is occurring, so maps have played an important historical role in control. The role of maps and the supporting technologies have expanded substantially in recent years with the publication of global maps describing the distribution of malaria</w:t>
      </w:r>
      <w:r w:rsidDel="00000000" w:rsidR="00000000" w:rsidRPr="00000000">
        <w:rPr>
          <w:color w:val="006fb7"/>
          <w:sz w:val="17"/>
          <w:szCs w:val="17"/>
          <w:highlight w:val="white"/>
          <w:rtl w:val="0"/>
        </w:rPr>
        <w:t xml:space="preserve">71</w:t>
      </w:r>
      <w:r w:rsidDel="00000000" w:rsidR="00000000" w:rsidRPr="00000000">
        <w:rPr>
          <w:color w:val="2a2a2a"/>
          <w:sz w:val="17"/>
          <w:szCs w:val="17"/>
          <w:highlight w:val="white"/>
          <w:rtl w:val="0"/>
        </w:rPr>
        <w:t xml:space="preserve">,</w:t>
      </w:r>
      <w:r w:rsidDel="00000000" w:rsidR="00000000" w:rsidRPr="00000000">
        <w:rPr>
          <w:color w:val="006fb7"/>
          <w:sz w:val="17"/>
          <w:szCs w:val="17"/>
          <w:highlight w:val="white"/>
          <w:rtl w:val="0"/>
        </w:rPr>
        <w:t xml:space="preserve">78</w:t>
      </w:r>
      <w:r w:rsidDel="00000000" w:rsidR="00000000" w:rsidRPr="00000000">
        <w:rPr>
          <w:rFonts w:ascii="Times New Roman" w:cs="Times New Roman" w:eastAsia="Times New Roman" w:hAnsi="Times New Roman"/>
          <w:color w:val="2a2a2a"/>
          <w:sz w:val="24"/>
          <w:szCs w:val="24"/>
          <w:highlight w:val="white"/>
          <w:rtl w:val="0"/>
        </w:rPr>
        <w:t xml:space="preserve"> and of dengue.</w:t>
      </w:r>
      <w:r w:rsidDel="00000000" w:rsidR="00000000" w:rsidRPr="00000000">
        <w:rPr>
          <w:color w:val="006fb7"/>
          <w:sz w:val="17"/>
          <w:szCs w:val="17"/>
          <w:highlight w:val="white"/>
          <w:rtl w:val="0"/>
        </w:rPr>
        <w:t xml:space="preserve">6</w:t>
      </w:r>
      <w:r w:rsidDel="00000000" w:rsidR="00000000" w:rsidRPr="00000000">
        <w:rPr>
          <w:rFonts w:ascii="Times New Roman" w:cs="Times New Roman" w:eastAsia="Times New Roman" w:hAnsi="Times New Roman"/>
          <w:color w:val="2a2a2a"/>
          <w:sz w:val="24"/>
          <w:szCs w:val="24"/>
          <w:highlight w:val="white"/>
          <w:rtl w:val="0"/>
        </w:rPr>
        <w:t xml:space="preserve"> </w:t>
      </w:r>
      <w:r w:rsidDel="00000000" w:rsidR="00000000" w:rsidRPr="00000000">
        <w:rPr>
          <w:rFonts w:ascii="Times New Roman" w:cs="Times New Roman" w:eastAsia="Times New Roman" w:hAnsi="Times New Roman"/>
          <w:b w:val="1"/>
          <w:color w:val="2a2a2a"/>
          <w:sz w:val="24"/>
          <w:szCs w:val="24"/>
          <w:highlight w:val="white"/>
          <w:rtl w:val="0"/>
        </w:rPr>
        <w:t xml:space="preserve">Also of great interest are databases that have aggregated metrics of transmission, especially those studies that have measured two or more metrics at the same time and place, and that investigated the properties of various metrics across space and time or across transmission intensities.</w:t>
      </w:r>
      <w:r w:rsidDel="00000000" w:rsidR="00000000" w:rsidRPr="00000000">
        <w:rPr>
          <w:b w:val="1"/>
          <w:color w:val="006fb7"/>
          <w:sz w:val="17"/>
          <w:szCs w:val="17"/>
          <w:highlight w:val="white"/>
          <w:rtl w:val="0"/>
        </w:rPr>
        <w:t xml:space="preserve">72</w:t>
      </w:r>
      <w:r w:rsidDel="00000000" w:rsidR="00000000" w:rsidRPr="00000000">
        <w:rPr>
          <w:b w:val="1"/>
          <w:color w:val="2a2a2a"/>
          <w:sz w:val="17"/>
          <w:szCs w:val="17"/>
          <w:highlight w:val="white"/>
          <w:rtl w:val="0"/>
        </w:rPr>
        <w:t xml:space="preserve">,</w:t>
      </w:r>
      <w:r w:rsidDel="00000000" w:rsidR="00000000" w:rsidRPr="00000000">
        <w:rPr>
          <w:b w:val="1"/>
          <w:color w:val="006fb7"/>
          <w:sz w:val="17"/>
          <w:szCs w:val="17"/>
          <w:highlight w:val="white"/>
          <w:rtl w:val="0"/>
        </w:rPr>
        <w:t xml:space="preserve">73</w:t>
      </w:r>
      <w:r w:rsidDel="00000000" w:rsidR="00000000" w:rsidRPr="00000000">
        <w:rPr>
          <w:b w:val="1"/>
          <w:color w:val="2a2a2a"/>
          <w:sz w:val="17"/>
          <w:szCs w:val="17"/>
          <w:highlight w:val="white"/>
          <w:rtl w:val="0"/>
        </w:rPr>
        <w:t xml:space="preserve">,</w:t>
      </w:r>
      <w:r w:rsidDel="00000000" w:rsidR="00000000" w:rsidRPr="00000000">
        <w:rPr>
          <w:b w:val="1"/>
          <w:color w:val="006fb7"/>
          <w:sz w:val="17"/>
          <w:szCs w:val="17"/>
          <w:highlight w:val="white"/>
          <w:rtl w:val="0"/>
        </w:rPr>
        <w:t xml:space="preserve">79</w:t>
      </w:r>
      <w:r w:rsidDel="00000000" w:rsidR="00000000" w:rsidRPr="00000000">
        <w:rPr>
          <w:rFonts w:ascii="Times New Roman" w:cs="Times New Roman" w:eastAsia="Times New Roman" w:hAnsi="Times New Roman"/>
          <w:b w:val="1"/>
          <w:color w:val="2a2a2a"/>
          <w:sz w:val="24"/>
          <w:szCs w:val="24"/>
          <w:highlight w:val="white"/>
          <w:rtl w:val="0"/>
        </w:rPr>
        <w:t xml:space="preserve"> The marriage of models and large aggregated databases has made it possible to test and apply the models to an extent that has not been possible before.</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Recasting theory</w:t>
      </w:r>
    </w:p>
    <w:p w:rsidR="00000000" w:rsidDel="00000000" w:rsidP="00000000" w:rsidRDefault="00000000" w:rsidRPr="00000000">
      <w:pPr>
        <w:contextualSpacing w:val="0"/>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If dispersion and the number of hosts in the neighborhood limits transmission, rather than VC, then thresholds on the coverage of vaccines, drugs, and other host-based interventions may not scale linearly with VC. What remains unknown, and is highly relevant for understanding transmission dynamics, is what happens to transmission as locally available hosts become saturated. It may be that, despite the nonlinearities in transmission caused by heterogeneous biting and local transmission, VC-based estimates of R0 are still relevant in an analysis of vector-based coverage levels and thresholds to eliminate a pathogen from an area. What may also be true is that the thresholds may scale differently for different modes of control depending on the context. </w:t>
      </w:r>
      <w:r w:rsidDel="00000000" w:rsidR="00000000" w:rsidRPr="00000000">
        <w:rPr>
          <w:rFonts w:ascii="Times New Roman" w:cs="Times New Roman" w:eastAsia="Times New Roman" w:hAnsi="Times New Roman"/>
          <w:b w:val="1"/>
          <w:color w:val="2a2a2a"/>
          <w:sz w:val="24"/>
          <w:szCs w:val="24"/>
          <w:highlight w:val="white"/>
          <w:rtl w:val="0"/>
        </w:rPr>
        <w:t xml:space="preserve">What is needed now is a new approach to measuring and modeling these aspects of transmission that can lay the foundations for an improved understanding of MBPT dynamics and control.</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70</w:t>
        <w:br w:type="textWrapping"/>
        <w:t xml:space="preserve">Hay SI,  Rogers DJ,  Toomer JF, et al.  . Annual Plasmodium falciparum entomological inoculation rates (EIR) across Africa: literature survey, internet access and review, Trans R Soc Trop Med Hyg , 2000, vol. 94 (pg. 113-27)</w:t>
        <w:br w:type="textWrapping"/>
        <w:t xml:space="preserve">Google ScholarCrossRefPubMed </w:t>
        <w:br w:type="textWrapping"/>
      </w:r>
      <w:r w:rsidDel="00000000" w:rsidR="00000000" w:rsidRPr="00000000">
        <w:rPr>
          <w:rFonts w:ascii="Times New Roman" w:cs="Times New Roman" w:eastAsia="Times New Roman" w:hAnsi="Times New Roman"/>
          <w:b w:val="1"/>
          <w:color w:val="2a2a2a"/>
          <w:sz w:val="24"/>
          <w:szCs w:val="24"/>
          <w:highlight w:val="white"/>
          <w:rtl w:val="0"/>
        </w:rPr>
        <w:t xml:space="preserve">71</w:t>
        <w:br w:type="textWrapping"/>
        <w:t xml:space="preserve">Gething PW,  Patil AP,  Smith DL, et al.  . A new world malaria map: Plasmodium falciparum endemicity in 2010, Malar J , 2011, vol. 10 pg. 378  https://doi.org/10.1186/1475-2875-10-378</w:t>
        <w:br w:type="textWrapping"/>
        <w:t xml:space="preserve">Google ScholarCrossRefPubMed </w:t>
      </w:r>
      <w:r w:rsidDel="00000000" w:rsidR="00000000" w:rsidRPr="00000000">
        <w:rPr>
          <w:rFonts w:ascii="Times New Roman" w:cs="Times New Roman" w:eastAsia="Times New Roman" w:hAnsi="Times New Roman"/>
          <w:color w:val="2a2a2a"/>
          <w:sz w:val="24"/>
          <w:szCs w:val="24"/>
          <w:highlight w:val="white"/>
          <w:rtl w:val="0"/>
        </w:rPr>
        <w:br w:type="textWrapping"/>
        <w:t xml:space="preserve">72</w:t>
        <w:br w:type="textWrapping"/>
        <w:t xml:space="preserve">Smith DL,  Drakeley CJ,  Chiyaka C, et al.  . A quantitative analysis of transmission efficiency versus intensity for malaria, Nat Commun , 2010, vol. 1 pg. 108  https://doi.org/ncomms1107[pii]10.1038/ncomms1107</w:t>
        <w:br w:type="textWrapping"/>
        <w:t xml:space="preserve">Google ScholarCrossRefPubMed </w:t>
        <w:br w:type="textWrapping"/>
        <w:t xml:space="preserve">73</w:t>
        <w:br w:type="textWrapping"/>
        <w:t xml:space="preserve">Okell LC,  Bousema T,  Griffin JT, et al.  . Factors determining the occurrence of submicroscopic malaria infections and their relevance for control, Nat Commun , 2012, vol. 3 pg. 1237  https://doi.org/10.1038/ncomms2241</w:t>
        <w:br w:type="textWrapping"/>
        <w:t xml:space="preserve">Google ScholarCrossRefPubMed </w:t>
        <w:br w:type="textWrapping"/>
        <w:t xml:space="preserve">74</w:t>
        <w:br w:type="textWrapping"/>
        <w:t xml:space="preserve">Bejon P,  Williams TN,  Liljander A, et al.  . Stable and unstable malaria hotspots in longitudinal cohort studies in Kenya, PLoS Med , 2010, vol. 7 7 e1000304 https://doi.org/10.1371/journal.pmed.1000304</w:t>
        <w:br w:type="textWrapping"/>
      </w:r>
      <w:r w:rsidDel="00000000" w:rsidR="00000000" w:rsidRPr="00000000">
        <w:rPr>
          <w:rFonts w:ascii="Times New Roman" w:cs="Times New Roman" w:eastAsia="Times New Roman" w:hAnsi="Times New Roman"/>
          <w:b w:val="1"/>
          <w:color w:val="2a2a2a"/>
          <w:sz w:val="24"/>
          <w:szCs w:val="24"/>
          <w:highlight w:val="white"/>
          <w:rtl w:val="0"/>
        </w:rPr>
        <w:t xml:space="preserve">75</w:t>
        <w:br w:type="textWrapping"/>
        <w:t xml:space="preserve">Bousema T,  Griffin JT,  Sauerwein RW, et al.  . Hitting hotspots: spatial targeting of malaria for control and elimination, PLoS Med , 2012, vol. 9 1 e1001165 https://doi.org/10.1371/journal.pmed.1001165</w:t>
      </w:r>
      <w:r w:rsidDel="00000000" w:rsidR="00000000" w:rsidRPr="00000000">
        <w:rPr>
          <w:rFonts w:ascii="Times New Roman" w:cs="Times New Roman" w:eastAsia="Times New Roman" w:hAnsi="Times New Roman"/>
          <w:color w:val="2a2a2a"/>
          <w:sz w:val="24"/>
          <w:szCs w:val="24"/>
          <w:highlight w:val="white"/>
          <w:rtl w:val="0"/>
        </w:rPr>
        <w:br w:type="textWrapping"/>
      </w:r>
      <w:r w:rsidDel="00000000" w:rsidR="00000000" w:rsidRPr="00000000">
        <w:rPr>
          <w:rFonts w:ascii="Times New Roman" w:cs="Times New Roman" w:eastAsia="Times New Roman" w:hAnsi="Times New Roman"/>
          <w:b w:val="1"/>
          <w:color w:val="2a2a2a"/>
          <w:sz w:val="24"/>
          <w:szCs w:val="24"/>
          <w:highlight w:val="white"/>
          <w:rtl w:val="0"/>
        </w:rPr>
        <w:t xml:space="preserve">76</w:t>
        <w:br w:type="textWrapping"/>
        <w:t xml:space="preserve">Getis A,  Morrison AC,  Gray K, et al.  . Characteristics of the spatial pattern of the dengue vector, Aedes aegypti, in Iquitos, Peru, Am J Trop Med Hyg , 2003, vol. 69 (pg. 494-505)</w:t>
        <w:br w:type="textWrapping"/>
        <w:t xml:space="preserve">Google ScholarPubMed</w:t>
      </w:r>
      <w:r w:rsidDel="00000000" w:rsidR="00000000" w:rsidRPr="00000000">
        <w:rPr>
          <w:rFonts w:ascii="Times New Roman" w:cs="Times New Roman" w:eastAsia="Times New Roman" w:hAnsi="Times New Roman"/>
          <w:color w:val="2a2a2a"/>
          <w:sz w:val="24"/>
          <w:szCs w:val="24"/>
          <w:highlight w:val="white"/>
          <w:rtl w:val="0"/>
        </w:rPr>
        <w:t xml:space="preserve"> </w:t>
        <w:br w:type="textWrapping"/>
        <w:t xml:space="preserve">77</w:t>
        <w:br w:type="textWrapping"/>
        <w:t xml:space="preserve">Yoon IK,  Getis A,  Aldstadt J, et al.  . Fine scale spatiotemporal clustering of dengue virus transmission in children and Aedes aegypti in rural Thai villages, PLoS Negl Trop Dis , 2012, vol. 6 7 e1730 https://doi.org/10.1371/journal.pntd.0001730</w:t>
        <w:br w:type="textWrapping"/>
        <w:t xml:space="preserve">78</w:t>
        <w:br w:type="textWrapping"/>
        <w:t xml:space="preserve">Gething PW,  Elyazar IR,  Moyes CL, et al.  . A long neglected world malaria map: Plasmodium vivax endemicity in 2010, PLoS Negl Trop Dis , 2012, vol. 6 9 e1814 https://doi.org/10.1371/journal.pntd.0001814</w:t>
        <w:br w:type="textWrapping"/>
        <w:t xml:space="preserve">79</w:t>
        <w:br w:type="textWrapping"/>
        <w:t xml:space="preserve">Smith DL,  Dushoff J,  Snow RW, et al.  . The entomological inoculation rate and Plasmodium falciparum infection in African children, Nature , 2005, vol. 438 (pg. 492-5)</w:t>
        <w:br w:type="textWrapping"/>
        <w:t xml:space="preserve">Google ScholarCrossRefPubMed</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71</w:t>
        <w:br w:type="textWrapping"/>
        <w:t xml:space="preserve">Gething PW,  Patil AP,  Smith DL, et al.  . A new world malaria map: Plasmodium falciparum endemicity in 2010, Malar J , 2011, vol. 10 pg. 378  </w:t>
      </w:r>
      <w:hyperlink r:id="rId1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https://doi.org/10.1186/1475-2875-10-378</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2a2a2a"/>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Abstract</w:t>
        <w:br w:type="textWrapping"/>
        <w:br w:type="textWrapping"/>
        <w:t xml:space="preserve">Background</w:t>
        <w:br w:type="textWrapping"/>
      </w:r>
      <w:r w:rsidDel="00000000" w:rsidR="00000000" w:rsidRPr="00000000">
        <w:rPr>
          <w:rFonts w:ascii="Times New Roman" w:cs="Times New Roman" w:eastAsia="Times New Roman" w:hAnsi="Times New Roman"/>
          <w:color w:val="2a2a2a"/>
          <w:sz w:val="24"/>
          <w:szCs w:val="24"/>
          <w:highlight w:val="white"/>
          <w:rtl w:val="0"/>
        </w:rPr>
        <w:t xml:space="preserve">Transmission intensity affects almost all aspects of malaria epidemiology and the impact of malaria on human populations. Maps of transmission intensity are necessary to identify populations at different levels of risk and to evaluate objectively options for disease control. To remain relevant operationally, such maps must be updated frequently. Following the first global effort to map Plasmodium falciparum malaria endemicity in 2007, this paper describes the generation of a new world map for the year 2010. This analysis is extended to provide the first global estimates of two other metrics of transmission intensity for P. falciparum that underpin contemporary questions in malaria control: the entomological inoculation rate (Pf EIR) and the basic reproductive number (PfR).</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Hitting Hotspots: Spatial Targeting of Malaria for Control and Elimination</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http://journals.plos.org/plosmedicine/article?id=10.1371/journal.pmed.1001165</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(2014 version of following ref#41 in AMCA BMP)</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tl w:val="0"/>
        </w:rPr>
        <w:t xml:space="preserve">California Department of Public Health MaVCAoC, University of California. California Mosquito-Borne Virus Surveillance and Response Plan.; 2017; 62 pp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https://www.cdph.ca.gov/Programs/CID/DCDC/CDPH%20Document%20Library/2017CAMBVirusSurveillanceResponsePlan.pdf</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2017CAMBVirusSurveillanceResponsePlan 62 pp.pdf  (somehow ended up w/2 versions, other 56 pp)</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Page 10,</w:t>
      </w:r>
    </w:p>
    <w:p w:rsidR="00000000" w:rsidDel="00000000" w:rsidP="00000000" w:rsidRDefault="00000000" w:rsidRPr="00000000">
      <w:pPr>
        <w:contextualSpacing w:val="0"/>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Response Levels</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California Mosquito-borne Virus Surveillance and Response Plan was developed to provide a semi-quantitative measure of virus transmission risk to humans that could be used by local mosquito control agencies to plan and modulate control activities. Independent models are presented for WEEV, SLEV, and WNV to accommodate the different ecological dynamics of these viruses (Barker et al. 2003). SLEV and WNV are closely related, require similar environmental conditions, and are transmitted by the same Culex vectors. Seven surveillance factors are measured and analyzed to determine the level of risk for human involvement and thereby gauge the appropriate response level:</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1. Environmental or climatic conditions (e.g., snowpack, rainfall, and temperature)</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2. Adult Culex vector abundance</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3. Virus infection rate in Culex mosquito vectors</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4. Sentinel chicken seroconversions</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5. Fatal infections in birds (WNV only)</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6. Infections in humans</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7. Proximity of detected virus activity to urban or suburban regions (WEEV only)</w:t>
      </w:r>
    </w:p>
    <w:p w:rsidR="00000000" w:rsidDel="00000000" w:rsidP="00000000" w:rsidRDefault="00000000" w:rsidRPr="00000000">
      <w:pPr>
        <w:contextualSpacing w:val="0"/>
        <w:rPr>
          <w:rFonts w:ascii="Times New Roman" w:cs="Times New Roman" w:eastAsia="Times New Roman" w:hAnsi="Times New Roman"/>
          <w:color w:val="2a2a2a"/>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onlinelibrary.wiley.com/doi/10.1111/1365-2435.12487/full" TargetMode="External"/><Relationship Id="rId10" Type="http://schemas.openxmlformats.org/officeDocument/2006/relationships/hyperlink" Target="https://scholar.google.com/scholar?cites=7021969550325174614&amp;as_sdt=40005&amp;sciodt=0,10&amp;hl=en" TargetMode="External"/><Relationship Id="rId13" Type="http://schemas.openxmlformats.org/officeDocument/2006/relationships/hyperlink" Target="https://amca.memberclicks.net/assets/HomePage/amca%20guidelines%20final_pdf.pdf" TargetMode="External"/><Relationship Id="rId12" Type="http://schemas.openxmlformats.org/officeDocument/2006/relationships/hyperlink" Target="https://malariajournal.biomedcentral.com/articles/10.1186/1475-2875-10-37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cademic.oup.com/trstmh/article/108/4/185/1924536/Recasting-the-theory-of-mosquito-borne-pathogen" TargetMode="External"/><Relationship Id="rId15" Type="http://schemas.openxmlformats.org/officeDocument/2006/relationships/hyperlink" Target="https://academic.oup.com/trstmh/article/108/4/185/1924536/Recasting-the-theory-of-mosquito-borne-pathogen" TargetMode="External"/><Relationship Id="rId14" Type="http://schemas.openxmlformats.org/officeDocument/2006/relationships/hyperlink" Target="http://westnile.ca.gov/downloads.php?download_id=2958&amp;filename=2014CAResponsePlan.pdf" TargetMode="External"/><Relationship Id="rId17" Type="http://schemas.openxmlformats.org/officeDocument/2006/relationships/hyperlink" Target="https://www.cdph.ca.gov/Programs/CID/DCDC/CDPH%20Document%20Library/2017CAMBVirusSurveillanceResponsePlan.pdf" TargetMode="External"/><Relationship Id="rId16" Type="http://schemas.openxmlformats.org/officeDocument/2006/relationships/hyperlink" Target="https://doi.org/10.1186/1475-2875-10-378" TargetMode="External"/><Relationship Id="rId5" Type="http://schemas.openxmlformats.org/officeDocument/2006/relationships/hyperlink" Target="http://www.pherec.org" TargetMode="External"/><Relationship Id="rId6" Type="http://schemas.openxmlformats.org/officeDocument/2006/relationships/hyperlink" Target="http://www.pherec.org/wp-content/uploads/2014/06/Smith-John-CV-June-3-2014.pdf" TargetMode="External"/><Relationship Id="rId7" Type="http://schemas.openxmlformats.org/officeDocument/2006/relationships/hyperlink" Target="http://www.mosquito.org/" TargetMode="External"/><Relationship Id="rId8" Type="http://schemas.openxmlformats.org/officeDocument/2006/relationships/hyperlink" Target="https://amca.memberclicks.net/assets/HomePage/amca%20guidelines%20final_pdf.pdf" TargetMode="External"/></Relationships>
</file>