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"http://www.pherec.org/"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Public Health Entomology Services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"http://www.mosquito.org/"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Home AMCA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"https://amca.memberclicks.net/assets/HomePage/amca%20guidelines%20final_pdf.pdf"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amca guidelines final_pdf.pdf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"http://maps.calsurv.org/invasive"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Cali Surveillance Gateway Maps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"https://academic.oup.com/trstmh/article/108/4/185/1924536/Recasting-the-theory-of-mosquito-borne-pathogen"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Recasting the theory of mosquito-borne pathogen transmission dynamics and control | Transactions of The Royal Society of Tropical Medicine and Hygiene | Oxford Academic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"http://www.hcflgov.net/en/residents/property-owners-and-renters/mosquito-control/mosquito-control-program"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Hillsborough County - Mosquito Control Program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"http://www.hillsboroughcounty.org/en/newsroom/2017/04/21/high-tech-weapon-helps-take-fight-to-mosquitoes"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Hillsborough County - High tech Weapon Helps Take Fight to Mosquitoes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"http://westnile.ca.gov/"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The California Department of Public Health West Nile Virus Website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"https://www.cdph.ca.gov/Programs/CID/DCDC/Pages/MosquitoesandMosquitoBorneDiseases.aspx"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Mosquitoes and Mosquito-Borne Diseases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"http://www.denguevirusnet.com/life-cycle-of-aedes-aegypti.html"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Life Cycle of Dengue Mosquito Aedes aegypti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"https://www.turbosquid.com/3d-models/3d-model-mosquito-rigged-blood/655239"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3d model mosquito rigged blood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"http://www.motioncow.com/home.html"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MotionCow - Royalty-free Stock Footage Video &amp; Animation Library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"https://www.codeforamerica.org/events/national-day-of-civic-hacking-2017"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National Day of Civic Hacking 2017 - Code for America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"http://eatmobile.com/"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EatMobile | Home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"https://www.nytimes.com/2017/07/26/health/zika-virus-mosquito-texas.html?_r=0"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Case of Zika Virus, Likely Spread by Mosquito, Is Reported in Texas - The New York Times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"https://www.nytimes.com/2017/07/17/health/zika-virus-houston-texas.html"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Houston Braces for Another Brush With the Peril of Zika - The New York Times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"https://gist.github.com/Khanthulhu/e1e6e93276032673e7e70f14ef9218f5"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Challenge write ups for Hack Zika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