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Greetings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Announcements: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need sponsors,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after party somewhere nearby... James Joyce a fav...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Hope you signed in since that will hopefully get me your email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Hackathon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Originally sponsored by Hillsborough County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Now Code for Tampa Bay &lt;c4tb/&gt;, a "Brigade" of Code for America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Part of the "National Day of Civic Hacking" NDoCH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 have flyers, they may be about to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Gdrive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Hub for Hackathon Planning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1) Mosquito Education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Tampa Bay Python tomorrow night @ The Wave will introduce pyGame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2) Digital Inspector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Digital form or…?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Want a ride along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3) Truck Router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Variation on "Travelling Salesman"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Cover a "ZONE" with the least double road coverage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4) Zone Picker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Prescriptive Analytics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sets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spreadsheet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Mosquito Trap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Community Ecology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Classification of association between species occurrence in samples.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"Samples" dimension can be many things but typically: Dates, Locations, or both.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Common methods: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Since data are: sparse, discrete, and skewed: PCA inappropriate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Typically transformed with square root or log(x+1)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Cluster Analysis, dendrograms,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Detrended Correspondence Analysis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Cornell Ecology Package (1980's)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DECORANA (1990's)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latest craze? (2000's anyway):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Non-Metric Multidimensional Scaling (NMDS) -&gt; PRIMER Plymouth Marine 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