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Agenda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Greetings and Introductions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Hackathon description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Originally sponsored by Hillsborough County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Now Code for Tampa Bay &lt;c4tb/&gt;, a "Brigade" of Code for America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Part of the "National Day of Civic Hacking" NDoCH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Flyers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We have flyers, they may be about to change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 sets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GIS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spreadsheet data.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Mosquito Trap Data: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Community Ecology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Classification of association between species occurrence in samples.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"Samples" dimension can be many things but typically: Dates, Locations, or both.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Common methods: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Since data are: sparse, discrete, and skewed: PCA inappropriate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Typically transformed with square root or log(x+1)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Cluster Analysis, dendrograms,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Detrended Correspondence Analysis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Cornell Ecology Package (1980's)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DECORANA (1990's)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latest craze? (2000's anyway):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Non-Metric Multidimensional Scaling (NMDS) -&gt; PRIMER Plymouth Marine Lab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Maps...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