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lineRule="auto"/>
        <w:contextualSpacing w:val="0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Hack Zika  2017 Budget</w:t>
      </w:r>
    </w:p>
    <w:p w:rsidR="00000000" w:rsidDel="00000000" w:rsidP="00000000" w:rsidRDefault="00000000" w:rsidRPr="00000000">
      <w:pPr>
        <w:shd w:fill="ffffff" w:val="clear"/>
        <w:spacing w:after="280" w:line="240" w:lineRule="auto"/>
        <w:contextualSpacing w:val="0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22"/>
        <w:gridCol w:w="3158"/>
        <w:tblGridChange w:id="0">
          <w:tblGrid>
            <w:gridCol w:w="3222"/>
            <w:gridCol w:w="315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Items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Expense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Event shirts</w:t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  $1,500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Promotional materials (flyers,banners, signage)</w:t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  $1,800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Event supplies (badges,notebooks,awards, etc)</w:t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     $400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Administrative</w:t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  $1,300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Food</w:t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  $4,000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Prizes</w:t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$12,000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$21,000</w:t>
            </w:r>
          </w:p>
        </w:tc>
      </w:tr>
    </w:tbl>
    <w:p w:rsidR="00000000" w:rsidDel="00000000" w:rsidP="00000000" w:rsidRDefault="00000000" w:rsidRPr="00000000">
      <w:pPr>
        <w:shd w:fill="ffffff" w:val="clear"/>
        <w:spacing w:after="280" w:before="100" w:line="240" w:lineRule="auto"/>
        <w:contextualSpacing w:val="0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222222"/>
          <w:sz w:val="20"/>
          <w:szCs w:val="20"/>
          <w:rtl w:val="0"/>
        </w:rPr>
        <w:t xml:space="preserve">As per EDI2 guidelines, food costs, volunteer lodging and in-kind services will not be paid with EDI2 funds but actual dollar expenses are listed here for reference to total event cost.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