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&lt;RAD/&gt;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2733675</wp:posOffset>
            </wp:positionH>
            <wp:positionV relativeFrom="paragraph">
              <wp:posOffset>85725</wp:posOffset>
            </wp:positionV>
            <wp:extent cx="3376613" cy="1245335"/>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376613" cy="1245335"/>
                    </a:xfrm>
                    <a:prstGeom prst="rect"/>
                    <a:ln/>
                  </pic:spPr>
                </pic:pic>
              </a:graphicData>
            </a:graphic>
          </wp:anchor>
        </w:drawing>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Rubicon Analytics &amp; Development LLC</w:t>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326 W. Crest Ave.</w:t>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Tampa, FL 33603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Hillsborough County</w:t>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Economic Development Innovation Initiative Application</w:t>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Events and Industry Promotion Initiatives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BRIEFLY DESCRIBE THE EVENT OR INDUSTRY PROMOTION (PLEASE LIMIT RESPONSE TO TWO PARAGRAPHS).</w:t>
      </w:r>
    </w:p>
    <w:p w:rsidR="00000000" w:rsidDel="00000000" w:rsidP="00000000" w:rsidRDefault="00000000" w:rsidRPr="00000000">
      <w:pPr>
        <w:contextualSpacing w:val="0"/>
        <w:rPr/>
      </w:pPr>
      <w:r w:rsidDel="00000000" w:rsidR="00000000" w:rsidRPr="00000000">
        <w:rPr>
          <w:b w:val="1"/>
          <w:rtl w:val="0"/>
        </w:rPr>
        <w:t xml:space="preserve">Hack Zika 2017</w:t>
      </w:r>
      <w:r w:rsidDel="00000000" w:rsidR="00000000" w:rsidRPr="00000000">
        <w:rPr>
          <w:rtl w:val="0"/>
        </w:rPr>
        <w:t xml:space="preserve">, will be this year’s spring hackathon sponsored by </w:t>
      </w:r>
      <w:r w:rsidDel="00000000" w:rsidR="00000000" w:rsidRPr="00000000">
        <w:rPr>
          <w:b w:val="1"/>
          <w:rtl w:val="0"/>
        </w:rPr>
        <w:t xml:space="preserve">C4TB Brigade</w:t>
      </w:r>
      <w:r w:rsidDel="00000000" w:rsidR="00000000" w:rsidRPr="00000000">
        <w:rPr>
          <w:rtl w:val="0"/>
        </w:rPr>
        <w:t xml:space="preserve">. C4TB (C4TB) is a local chapter of Code for America, one of many in the state of Florida.  As a Code for America Brigade, C4TB is an organizing force for local civic engagement - part of a national network of civic-minded volunteers who contribute their skills toward using the web as a platform for local government and community service.  Hack Zika will focus on creating solutions in support of Hillsborough County Mosquito Control in order to lower the risk posed by the Zika virus. We are developing a suite of hackathon challenges based on Mosquito Control’s “wish list” of applications they have already determined they need.</w:t>
      </w:r>
    </w:p>
    <w:p w:rsidR="00000000" w:rsidDel="00000000" w:rsidP="00000000" w:rsidRDefault="00000000" w:rsidRPr="00000000">
      <w:pPr>
        <w:contextualSpacing w:val="0"/>
        <w:rPr/>
      </w:pPr>
      <w:r w:rsidDel="00000000" w:rsidR="00000000" w:rsidRPr="00000000">
        <w:rPr>
          <w:rtl w:val="0"/>
        </w:rPr>
        <w:t xml:space="preserve"> Code for America organizes a “National Day of Civic Hacking” (NDCH) typically held in June. This year, the NDCH will be held in September so the indefatigable C4TB developers have decided to shoot for two hackathons this year, one at the traditional time in the spring and a second during this year’s NDCH. Hack Zika 2017, will unite technologists, entrepreneurs, developers and other citizens while using open data to improve our communities and the governments that serve them.</w:t>
      </w:r>
    </w:p>
    <w:p w:rsidR="00000000" w:rsidDel="00000000" w:rsidP="00000000" w:rsidRDefault="00000000" w:rsidRPr="00000000">
      <w:pPr>
        <w:contextualSpacing w:val="0"/>
        <w:rPr>
          <w:b w:val="1"/>
        </w:rPr>
      </w:pPr>
      <w:r w:rsidDel="00000000" w:rsidR="00000000" w:rsidRPr="00000000">
        <w:rPr>
          <w:b w:val="1"/>
          <w:rtl w:val="0"/>
        </w:rPr>
        <w:t xml:space="preserve">PART B – REVIEW CRITERIA </w:t>
      </w:r>
    </w:p>
    <w:p w:rsidR="00000000" w:rsidDel="00000000" w:rsidP="00000000" w:rsidRDefault="00000000" w:rsidRPr="00000000">
      <w:pPr>
        <w:contextualSpacing w:val="0"/>
        <w:rPr>
          <w:b w:val="1"/>
        </w:rPr>
      </w:pPr>
      <w:r w:rsidDel="00000000" w:rsidR="00000000" w:rsidRPr="00000000">
        <w:rPr>
          <w:b w:val="1"/>
          <w:rtl w:val="0"/>
        </w:rPr>
        <w:t xml:space="preserve">DESCRIBE HOW THE EVENT/PROMOTION MEETS AND/OR EXCEEDS EACH OF THE APPLICABLE REVIEW CRITERIA AS THEY APPLY. EACH REVIEW CRITERIA MUST BE ADDRESSED BELOW.</w:t>
      </w:r>
    </w:p>
    <w:p w:rsidR="00000000" w:rsidDel="00000000" w:rsidP="00000000" w:rsidRDefault="00000000" w:rsidRPr="00000000">
      <w:pPr>
        <w:contextualSpacing w:val="0"/>
        <w:rPr>
          <w:b w:val="1"/>
        </w:rPr>
      </w:pPr>
      <w:r w:rsidDel="00000000" w:rsidR="00000000" w:rsidRPr="00000000">
        <w:rPr>
          <w:rFonts w:ascii="Arial" w:cs="Arial" w:eastAsia="Arial" w:hAnsi="Arial"/>
          <w:b w:val="1"/>
          <w:sz w:val="18"/>
          <w:szCs w:val="18"/>
          <w:rtl w:val="0"/>
        </w:rPr>
        <w:t xml:space="preserve">1.  </w:t>
      </w: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DESCRIBE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HOW THE EVENT (i) DRIVES THE GROWTH OF TECHNOLOGY AND INNOVATION START-UPS AND SMALL BUSINESSES IN HILLSBOROUGH COUNTY; (ii) SUPPORTS THE PURPOSE AND MEET THE OBJECTIVES OF EDI2; and (iii) SUPPORTS MINORITIES, WOMEN AND/OR VETERANS WITH THEIR ENTREPRENEURIAL SUCCESS.</w:t>
      </w:r>
      <w:r w:rsidDel="00000000" w:rsidR="00000000" w:rsidRPr="00000000">
        <w:rPr>
          <w:rFonts w:ascii="Arial" w:cs="Arial" w:eastAsia="Arial" w:hAnsi="Arial"/>
          <w:b w:val="1"/>
          <w:sz w:val="18"/>
          <w:szCs w:val="18"/>
          <w:rtl w:val="0"/>
        </w:rPr>
        <w:t xml:space="preserve">  </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Hack Zika 2017 will drive the growth of technology and innovation by bringing together local business and technology professionals interested in civic engagement, providing a positive environment for networking and collaboration that can help strengthen Tampa Bay’s technology community, bringing technologists and the business community together for the common good of Tampa Bay.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LEVERAGING: DESCRIBE HOW THE PROJECT (i) LEVERAGES PRIVATE SECTOR DOLLARS IN TERMS OF FINANCING, EXPERTISE AND NETWORKING; and (ii) DEMONSTRATES A COLLABORATIVE AND SYNERGISTIC APPROACH </w:t>
      </w:r>
    </w:p>
    <w:p w:rsidR="00000000" w:rsidDel="00000000" w:rsidP="00000000" w:rsidRDefault="00000000" w:rsidRPr="00000000">
      <w:pPr>
        <w:contextualSpacing w:val="0"/>
        <w:rPr/>
      </w:pPr>
      <w:r w:rsidDel="00000000" w:rsidR="00000000" w:rsidRPr="00000000">
        <w:rPr>
          <w:rtl w:val="0"/>
        </w:rPr>
        <w:t xml:space="preserve">Hack Zika 2017  leverages the private sector and Tampa’s technical and creative resources by showcasing the best that Tampa has to offer, in the service of a better Tampa community. Our local event is necessarily a collaborative endeavor, bringing together area professionals and Hillsborough government to work together on solutions for improving services and resources for residents through shared skills.</w:t>
      </w:r>
    </w:p>
    <w:p w:rsidR="00000000" w:rsidDel="00000000" w:rsidP="00000000" w:rsidRDefault="00000000" w:rsidRPr="00000000">
      <w:pPr>
        <w:contextualSpacing w:val="0"/>
        <w:rPr>
          <w:b w:val="1"/>
        </w:rPr>
      </w:pPr>
      <w:r w:rsidDel="00000000" w:rsidR="00000000" w:rsidRPr="00000000">
        <w:rPr>
          <w:b w:val="1"/>
          <w:rtl w:val="0"/>
        </w:rPr>
        <w:t xml:space="preserve">3. PERFORMANCE EVALUATION/METRICS. PROVIDE APPROPRIATE CRITERIA AND MILESTONES FOR DETERMINING/MEASURING THE SUCCESS OF THE EVENT/PROMOTION. DEFINE RELEVANT OUTCOME INDICATORS AND TARGETS DURING AND AFTER THE EVENT/PROMOTION (SUCH NUMBER OF EVENT ATTENDEES, ATTENDEE PROFILES, MEDIA COVERAGE, GROWTH IN PARTICIPATION OVER PREVIOUS YEARS, HOTEL NIGHTS, NEW START-UPS FORMED) </w:t>
      </w:r>
    </w:p>
    <w:p w:rsidR="00000000" w:rsidDel="00000000" w:rsidP="00000000" w:rsidRDefault="00000000" w:rsidRPr="00000000">
      <w:pPr>
        <w:contextualSpacing w:val="0"/>
        <w:rPr/>
      </w:pPr>
      <w:r w:rsidDel="00000000" w:rsidR="00000000" w:rsidRPr="00000000">
        <w:rPr>
          <w:rtl w:val="0"/>
        </w:rPr>
        <w:t xml:space="preserve">There have been several previous hackathons in Hillsborough County focused on civic hacking, both with and without participation by C4TB. Attendance is typically 50 to 100 people ranging from students and professors to technology entrepreneurs; as well as community leaders, government employees,  and members of the press. We are using Eventbrite for registration this year which will allow us to survey attendees as to their roles and interests. A post registration survey will also be sent to those that request help forming teams during the kick-off time period.</w:t>
      </w:r>
    </w:p>
    <w:p w:rsidR="00000000" w:rsidDel="00000000" w:rsidP="00000000" w:rsidRDefault="00000000" w:rsidRPr="00000000">
      <w:pPr>
        <w:contextualSpacing w:val="0"/>
        <w:rPr/>
      </w:pPr>
      <w:r w:rsidDel="00000000" w:rsidR="00000000" w:rsidRPr="00000000">
        <w:rPr>
          <w:rtl w:val="0"/>
        </w:rPr>
        <w:t xml:space="preserve">Jenny Dean, of channel 10 news (WTSP) will be interviewing us within a week to do a story in advance of the event and most likely will have a presence during the event.</w:t>
      </w:r>
    </w:p>
    <w:p w:rsidR="00000000" w:rsidDel="00000000" w:rsidP="00000000" w:rsidRDefault="00000000" w:rsidRPr="00000000">
      <w:pPr>
        <w:contextualSpacing w:val="0"/>
        <w:rPr/>
      </w:pPr>
      <w:r w:rsidDel="00000000" w:rsidR="00000000" w:rsidRPr="00000000">
        <w:rPr>
          <w:rtl w:val="0"/>
        </w:rPr>
        <w:t xml:space="preserve">As a recognized Code for America Brigade, C4TB is well positioned to provide long term metrics of efforts initiated at </w:t>
      </w:r>
      <w:r w:rsidDel="00000000" w:rsidR="00000000" w:rsidRPr="00000000">
        <w:rPr>
          <w:rtl w:val="0"/>
        </w:rPr>
        <w:t xml:space="preserve">Hack</w:t>
      </w:r>
      <w:r w:rsidDel="00000000" w:rsidR="00000000" w:rsidRPr="00000000">
        <w:rPr>
          <w:rtl w:val="0"/>
        </w:rPr>
        <w:t xml:space="preserve"> Zika 2016 and to keep track of efforts that may spin off from projects developed during the event.   Additionally, Eureka Factory, which lead event planning  for Hack Tampa Bay 2015, and is also involved this year,  has organized well-respected events like ROBOTICON Tampa Bay and Gulf Coast MakerCon, and has a reliable track record for recording event statistics and measuring program growth over a period of years.</w:t>
      </w:r>
    </w:p>
    <w:p w:rsidR="00000000" w:rsidDel="00000000" w:rsidP="00000000" w:rsidRDefault="00000000" w:rsidRPr="00000000">
      <w:pPr>
        <w:contextualSpacing w:val="0"/>
        <w:rPr/>
      </w:pPr>
      <w:r w:rsidDel="00000000" w:rsidR="00000000" w:rsidRPr="00000000">
        <w:rPr>
          <w:b w:val="1"/>
          <w:rtl w:val="0"/>
        </w:rPr>
        <w:t xml:space="preserve">4. ECONOMIC DEVELOPMENT IMPACT: DESCRIBE HOW THE EVENT/INDUSTRY PROMOTION DEMONSTRATES A WELL-THOUGHT OUT IDEA AND MODEL THAT HAS THE POTENTIAL TO BE SUSTAINABLE AND GENERATE ECONOMIC  DEVELOPMENT; CREATES PERMANENT LOCAL JOBS AND POTENTIAL FOR SUSTAINED ECONOMIC IMPACT AND  GROWTH; GENERATES LOCAL BUSINESS; ADDS VALUE TO THE LOCAL ECONOMY.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Hackathons follow established protocols, and have proven themselves popular and sustainable, as well as a source of new community-minded app and software development. With the added value of being produced by an approved  Code for America Brigade unit,  Hack Zika 2017,  has a greater potential to provide participants with spin off opportunities on developed apps and business solutions, and certainly brings added value to the local economy by helping improve government resources  and civic solutions.</w:t>
      </w: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QUALITY OF TEAM: DESCRIBE THE QUALIFICATIONS, TRACK RECORD, AND ABILITY OF THE APPLICANT AND PROFESSIONALS COMPOSING THE EVENT/PROMOTION TEAM TO SUCCESSFULLY EXECUTE THE EVENT/PROMOTION. </w:t>
      </w:r>
    </w:p>
    <w:p w:rsidR="00000000" w:rsidDel="00000000" w:rsidP="00000000" w:rsidRDefault="00000000" w:rsidRPr="00000000">
      <w:pPr>
        <w:contextualSpacing w:val="0"/>
        <w:rPr/>
      </w:pPr>
      <w:r w:rsidDel="00000000" w:rsidR="00000000" w:rsidRPr="00000000">
        <w:rPr>
          <w:rtl w:val="0"/>
        </w:rPr>
        <w:t xml:space="preserve">The Hack Tampa Bay team includes professionals from a variety of technology and innovation sectors of Tampa Bay, with a proven track record of event and program production.   Planning team members include: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Terri Willingham, of Willingham Associates, LLC  , developers of the John F. Germany makerspace, the Hive, and organizers of  ROBOTICON Tampa Bay for the last two years, and Gulf Coast MakerCon,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Punzak, Sr. National Sales Director,  State &amp; Local Government / Education with Red Hat, an open source software development for enterprise IT, with a broad portfolio of products and services for commercial markets.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Michael Turtora, of Rubicon Analytics and Development, LLC, a semi-retired tech entrepreneur with decades of experience in project management and data science.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Meg Comins, Loop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Jr. Software Developer, SourceToad, a Tampa web development firm</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Hack Tampa Bay  2015 Budget</w:t>
      </w:r>
    </w:p>
    <w:p w:rsidR="00000000" w:rsidDel="00000000" w:rsidP="00000000" w:rsidRDefault="00000000" w:rsidRPr="00000000">
      <w:pPr>
        <w:shd w:fill="ffffff" w:val="clear"/>
        <w:spacing w:after="280" w:before="280" w:line="240" w:lineRule="auto"/>
        <w:contextualSpacing w:val="0"/>
        <w:rPr>
          <w:rFonts w:ascii="Arial" w:cs="Arial" w:eastAsia="Arial" w:hAnsi="Arial"/>
          <w:color w:val="222222"/>
          <w:sz w:val="20"/>
          <w:szCs w:val="20"/>
        </w:rPr>
      </w:pPr>
      <w:r w:rsidDel="00000000" w:rsidR="00000000" w:rsidRPr="00000000">
        <w:rPr>
          <w:rtl w:val="0"/>
        </w:rPr>
      </w:r>
    </w:p>
    <w:tbl>
      <w:tblPr>
        <w:tblStyle w:val="Table1"/>
        <w:tblW w:w="6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0"/>
        <w:gridCol w:w="1150"/>
        <w:tblGridChange w:id="0">
          <w:tblGrid>
            <w:gridCol w:w="5530"/>
            <w:gridCol w:w="1150"/>
          </w:tblGrid>
        </w:tblGridChange>
      </w:tblGrid>
      <w:tr>
        <w:tc>
          <w:tcPr>
            <w:shd w:fill="f2f2f2" w:val="clear"/>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Items</w:t>
            </w:r>
          </w:p>
        </w:tc>
        <w:tc>
          <w:tcPr>
            <w:shd w:fill="f2f2f2" w:val="clear"/>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Expense</w:t>
            </w:r>
          </w:p>
        </w:tc>
      </w:tr>
      <w:tr>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Event shirts</w:t>
            </w:r>
          </w:p>
        </w:tc>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$1500</w:t>
            </w:r>
          </w:p>
        </w:tc>
      </w:tr>
      <w:tr>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Promotional materials (flyers,banners, signage)</w:t>
            </w:r>
          </w:p>
        </w:tc>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$1700</w:t>
            </w:r>
          </w:p>
        </w:tc>
      </w:tr>
      <w:tr>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Event supplies (badges,notebooks,awards, etc)</w:t>
            </w:r>
          </w:p>
        </w:tc>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$200</w:t>
            </w:r>
          </w:p>
        </w:tc>
      </w:tr>
      <w:tr>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Administrative</w:t>
            </w:r>
          </w:p>
        </w:tc>
        <w:tc>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$1000</w:t>
            </w:r>
          </w:p>
        </w:tc>
      </w:tr>
      <w:tr>
        <w:tc>
          <w:tcPr>
            <w:shd w:fill="f2f2f2" w:val="clear"/>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Total</w:t>
            </w:r>
          </w:p>
        </w:tc>
        <w:tc>
          <w:tcPr>
            <w:shd w:fill="f2f2f2" w:val="clear"/>
          </w:tcPr>
          <w:p w:rsidR="00000000" w:rsidDel="00000000" w:rsidP="00000000" w:rsidRDefault="00000000" w:rsidRPr="00000000">
            <w:pPr>
              <w:spacing w:after="100" w:before="10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$4400</w:t>
            </w:r>
          </w:p>
        </w:tc>
      </w:tr>
    </w:tbl>
    <w:p w:rsidR="00000000" w:rsidDel="00000000" w:rsidP="00000000" w:rsidRDefault="00000000" w:rsidRPr="00000000">
      <w:pPr>
        <w:shd w:fill="ffffff" w:val="clear"/>
        <w:spacing w:after="280" w:before="100" w:line="240" w:lineRule="auto"/>
        <w:contextualSpacing w:val="0"/>
        <w:rPr>
          <w:rFonts w:ascii="Arial" w:cs="Arial" w:eastAsia="Arial" w:hAnsi="Arial"/>
          <w:i w:val="1"/>
          <w:color w:val="222222"/>
          <w:sz w:val="24"/>
          <w:szCs w:val="24"/>
        </w:rPr>
      </w:pPr>
      <w:r w:rsidDel="00000000" w:rsidR="00000000" w:rsidRPr="00000000">
        <w:rPr>
          <w:rFonts w:ascii="Arial" w:cs="Arial" w:eastAsia="Arial" w:hAnsi="Arial"/>
          <w:i w:val="1"/>
          <w:color w:val="222222"/>
          <w:sz w:val="24"/>
          <w:szCs w:val="24"/>
          <w:rtl w:val="0"/>
        </w:rPr>
        <w:t xml:space="preserve">As per EDI2 guidelines, food costs, volunteer lodging and in-kind services are not included in this estimate.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Letter of Support</w:t>
      </w:r>
      <w:r w:rsidDel="00000000" w:rsidR="00000000" w:rsidRPr="00000000">
        <w:drawing>
          <wp:anchor allowOverlap="1" behindDoc="0" distB="0" distT="0" distL="114300" distR="114300" hidden="0" layoutInCell="1" locked="0" relativeHeight="0" simplePos="0">
            <wp:simplePos x="0" y="0"/>
            <wp:positionH relativeFrom="margin">
              <wp:posOffset>-66674</wp:posOffset>
            </wp:positionH>
            <wp:positionV relativeFrom="paragraph">
              <wp:posOffset>209550</wp:posOffset>
            </wp:positionV>
            <wp:extent cx="6173470" cy="67056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73470" cy="6705600"/>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About Code for Tampa Bay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-123824</wp:posOffset>
            </wp:positionH>
            <wp:positionV relativeFrom="paragraph">
              <wp:posOffset>196215</wp:posOffset>
            </wp:positionV>
            <wp:extent cx="5943600" cy="7691755"/>
            <wp:effectExtent b="0" l="0" r="0" t="0"/>
            <wp:wrapSquare wrapText="bothSides" distB="0" distT="0" distL="114300" distR="11430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7691755"/>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-133349</wp:posOffset>
            </wp:positionH>
            <wp:positionV relativeFrom="paragraph">
              <wp:posOffset>-390524</wp:posOffset>
            </wp:positionV>
            <wp:extent cx="5943600" cy="7691755"/>
            <wp:effectExtent b="0" l="0" r="0" t="0"/>
            <wp:wrapSquare wrapText="bothSides" distB="0" distT="0" distL="114300" distR="11430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7691755"/>
                    </a:xfrm>
                    <a:prstGeom prst="rect"/>
                    <a:ln/>
                  </pic:spPr>
                </pic:pic>
              </a:graphicData>
            </a:graphic>
          </wp:anchor>
        </w:drawing>
      </w:r>
    </w:p>
    <w:p w:rsidR="00000000" w:rsidDel="00000000" w:rsidP="00000000" w:rsidRDefault="00000000" w:rsidRPr="00000000">
      <w:pPr>
        <w:pStyle w:val="Heading1"/>
        <w:contextualSpacing w:val="0"/>
        <w:rPr/>
      </w:pPr>
      <w:r w:rsidDel="00000000" w:rsidR="00000000" w:rsidRPr="00000000">
        <w:rPr>
          <w:rtl w:val="0"/>
        </w:rPr>
        <w:t xml:space="preserve">About National Day of Civic Hacking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2</w:t>
      </w:r>
      <w:r w:rsidDel="00000000" w:rsidR="00000000" w:rsidRPr="00000000">
        <w:rPr>
          <w:vertAlign w:val="superscript"/>
          <w:rtl w:val="0"/>
        </w:rPr>
        <w:t xml:space="preserve">nd</w:t>
      </w:r>
      <w:r w:rsidDel="00000000" w:rsidR="00000000" w:rsidRPr="00000000">
        <w:rPr>
          <w:rtl w:val="0"/>
        </w:rPr>
        <w:t xml:space="preserve"> event, more than 11,000 citizens representing government, businesses, nonprofits, technologists, and entrepreneurs participated in more than 95 simultaneous civic hacking events in 83 cities across the US – including Tampa - as part of the first ever National Day of Civic Hacking.  The 2015 event promises to be even bigger and we look forward to helping grow the event in Tampa.</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152400</wp:posOffset>
            </wp:positionH>
            <wp:positionV relativeFrom="paragraph">
              <wp:posOffset>20955</wp:posOffset>
            </wp:positionV>
            <wp:extent cx="5482590" cy="655320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2590" cy="6553200"/>
                    </a:xfrm>
                    <a:prstGeom prst="rect"/>
                    <a:ln/>
                  </pic:spPr>
                </pic:pic>
              </a:graphicData>
            </a:graphic>
          </wp:anchor>
        </w:drawing>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Rubicon Analytics &amp; Development, LLC.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9.jpg"/></Relationships>
</file>