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3180"/>
        </w:tabs>
        <w:contextualSpacing w:val="0"/>
        <w:rPr/>
      </w:pPr>
      <w:r w:rsidDel="00000000" w:rsidR="00000000" w:rsidRPr="00000000">
        <w:rPr>
          <w:rtl w:val="0"/>
        </w:rPr>
        <w:tab/>
      </w:r>
    </w:p>
    <w:p w:rsidR="00000000" w:rsidDel="00000000" w:rsidP="00000000" w:rsidRDefault="00000000" w:rsidRPr="00000000">
      <w:pPr>
        <w:spacing w:after="0" w:before="52" w:line="240" w:lineRule="auto"/>
        <w:ind w:left="124" w:right="-67" w:firstLine="0"/>
        <w:contextualSpacing w:val="0"/>
        <w:rPr>
          <w:b w:val="1"/>
          <w:color w:val="164272"/>
        </w:rPr>
      </w:pPr>
      <w:r w:rsidDel="00000000" w:rsidR="00000000" w:rsidRPr="00000000">
        <w:rPr>
          <w:rtl w:val="0"/>
        </w:rPr>
      </w:r>
    </w:p>
    <w:p w:rsidR="00000000" w:rsidDel="00000000" w:rsidP="00000000" w:rsidRDefault="00000000" w:rsidRPr="00000000">
      <w:pPr>
        <w:spacing w:after="0" w:before="52" w:line="240" w:lineRule="auto"/>
        <w:ind w:left="-630" w:right="-67" w:firstLine="0"/>
        <w:contextualSpacing w:val="0"/>
        <w:rPr/>
      </w:pPr>
      <w:r w:rsidDel="00000000" w:rsidR="00000000" w:rsidRPr="00000000">
        <w:rPr>
          <w:b w:val="1"/>
          <w:color w:val="164272"/>
          <w:rtl w:val="0"/>
        </w:rPr>
        <w:t xml:space="preserve">INFORMATION &amp; INNOVATION OFFICE</w:t>
      </w:r>
      <w:r w:rsidDel="00000000" w:rsidR="00000000" w:rsidRPr="00000000">
        <w:rPr>
          <w:rtl w:val="0"/>
        </w:rPr>
      </w:r>
    </w:p>
    <w:p w:rsidR="00000000" w:rsidDel="00000000" w:rsidP="00000000" w:rsidRDefault="00000000" w:rsidRPr="00000000">
      <w:pPr>
        <w:spacing w:after="0" w:line="169" w:lineRule="auto"/>
        <w:ind w:left="-630" w:right="-20" w:firstLine="0"/>
        <w:contextualSpacing w:val="0"/>
        <w:rPr/>
      </w:pPr>
      <w:r w:rsidDel="00000000" w:rsidR="00000000" w:rsidRPr="00000000">
        <w:rPr>
          <w:color w:val="164272"/>
          <w:rtl w:val="0"/>
        </w:rPr>
        <w:t xml:space="preserve">P.O. Box 1110 Tampa, FL 33601-1110</w:t>
      </w:r>
      <w:r w:rsidDel="00000000" w:rsidR="00000000" w:rsidRPr="00000000">
        <w:rPr>
          <w:rtl w:val="0"/>
        </w:rPr>
      </w:r>
    </w:p>
    <w:p w:rsidR="00000000" w:rsidDel="00000000" w:rsidP="00000000" w:rsidRDefault="00000000" w:rsidRPr="00000000">
      <w:pPr>
        <w:tabs>
          <w:tab w:val="left" w:pos="3180"/>
        </w:tabs>
        <w:contextualSpacing w:val="0"/>
        <w:rPr/>
      </w:pPr>
      <w:r w:rsidDel="00000000" w:rsidR="00000000" w:rsidRPr="00000000">
        <w:rPr>
          <w:rtl w:val="0"/>
        </w:rPr>
      </w:r>
    </w:p>
    <w:p w:rsidR="00000000" w:rsidDel="00000000" w:rsidP="00000000" w:rsidRDefault="00000000" w:rsidRPr="00000000">
      <w:pPr>
        <w:tabs>
          <w:tab w:val="left" w:pos="3180"/>
        </w:tabs>
        <w:contextualSpacing w:val="0"/>
        <w:rPr/>
      </w:pPr>
      <w:r w:rsidDel="00000000" w:rsidR="00000000" w:rsidRPr="00000000">
        <w:rPr>
          <w:rtl w:val="0"/>
        </w:rPr>
      </w:r>
    </w:p>
    <w:p w:rsidR="00000000" w:rsidDel="00000000" w:rsidP="00000000" w:rsidRDefault="00000000" w:rsidRPr="00000000">
      <w:pPr>
        <w:tabs>
          <w:tab w:val="left" w:pos="3180"/>
        </w:tabs>
        <w:contextualSpacing w:val="0"/>
        <w:jc w:val="right"/>
        <w:rPr/>
      </w:pPr>
      <w:r w:rsidDel="00000000" w:rsidR="00000000" w:rsidRPr="00000000">
        <w:rPr>
          <w:rtl w:val="0"/>
        </w:rPr>
      </w:r>
    </w:p>
    <w:tbl>
      <w:tblPr>
        <w:tblStyle w:val="Table1"/>
        <w:tblW w:w="10710.0" w:type="dxa"/>
        <w:jc w:val="left"/>
        <w:tblInd w:w="-5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5"/>
        <w:gridCol w:w="5845"/>
        <w:tblGridChange w:id="0">
          <w:tblGrid>
            <w:gridCol w:w="4865"/>
            <w:gridCol w:w="5845"/>
          </w:tblGrid>
        </w:tblGridChange>
      </w:tblGrid>
      <w:tr>
        <w:trPr>
          <w:trHeight w:val="380" w:hRule="atLeast"/>
        </w:trPr>
        <w:tc>
          <w:tcPr/>
          <w:p w:rsidR="00000000" w:rsidDel="00000000" w:rsidP="00000000" w:rsidRDefault="00000000" w:rsidRPr="00000000">
            <w:pPr>
              <w:contextualSpacing w:val="0"/>
              <w:jc w:val="center"/>
              <w:rPr/>
            </w:pPr>
            <w:r w:rsidDel="00000000" w:rsidR="00000000" w:rsidRPr="00000000">
              <w:rPr>
                <w:rtl w:val="0"/>
              </w:rPr>
            </w:r>
          </w:p>
        </w:tc>
        <w:tc>
          <w:tcPr/>
          <w:p w:rsidR="00000000" w:rsidDel="00000000" w:rsidP="00000000" w:rsidRDefault="00000000" w:rsidRPr="00000000">
            <w:pPr>
              <w:spacing w:line="251" w:lineRule="auto"/>
              <w:ind w:left="-33" w:right="96" w:firstLine="988"/>
              <w:contextualSpacing w:val="0"/>
              <w:jc w:val="right"/>
              <w:rPr>
                <w:b w:val="1"/>
                <w:color w:val="164272"/>
              </w:rPr>
            </w:pPr>
            <w:r w:rsidDel="00000000" w:rsidR="00000000" w:rsidRPr="00000000">
              <w:rPr>
                <w:b w:val="1"/>
                <w:color w:val="164272"/>
                <w:rtl w:val="0"/>
              </w:rPr>
              <w:t xml:space="preserve">CHIEF INFORMATION &amp; INNOVATION OFFICER</w:t>
            </w:r>
          </w:p>
          <w:p w:rsidR="00000000" w:rsidDel="00000000" w:rsidP="00000000" w:rsidRDefault="00000000" w:rsidRPr="00000000">
            <w:pPr>
              <w:spacing w:line="251" w:lineRule="auto"/>
              <w:ind w:left="-33" w:right="96" w:firstLine="988"/>
              <w:contextualSpacing w:val="0"/>
              <w:jc w:val="right"/>
              <w:rPr/>
            </w:pPr>
            <w:r w:rsidDel="00000000" w:rsidR="00000000" w:rsidRPr="00000000">
              <w:rPr>
                <w:b w:val="1"/>
                <w:color w:val="164272"/>
                <w:rtl w:val="0"/>
              </w:rPr>
              <w:t xml:space="preserve"> </w:t>
            </w:r>
            <w:r w:rsidDel="00000000" w:rsidR="00000000" w:rsidRPr="00000000">
              <w:rPr>
                <w:color w:val="164272"/>
                <w:rtl w:val="0"/>
              </w:rPr>
              <w:t xml:space="preserve">Ramin Kouzehkanani</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tc>
      </w:tr>
    </w:tbl>
    <w:p w:rsidR="00000000" w:rsidDel="00000000" w:rsidP="00000000" w:rsidRDefault="00000000" w:rsidRPr="00000000">
      <w:pPr>
        <w:contextualSpacing w:val="0"/>
        <w:jc w:val="center"/>
        <w:rPr>
          <w:b w:val="1"/>
        </w:rPr>
      </w:pPr>
      <w:r w:rsidDel="00000000" w:rsidR="00000000" w:rsidRPr="00000000">
        <w:rPr>
          <w:b w:val="1"/>
          <w:rtl w:val="0"/>
        </w:rPr>
        <w:t xml:space="preserve">Sponsorship Request Memorandum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Mike Merrill, County Administrator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Kevin Kerrigan, Director, Innovation &amp; Emerging Technologies Division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Ramin Kouzehkanani, Chief Information &amp; Innovation Officer</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Request for $1,000 sponsorship of </w:t>
      </w:r>
      <w:r w:rsidDel="00000000" w:rsidR="00000000" w:rsidRPr="00000000">
        <w:rPr>
          <w:rtl w:val="0"/>
        </w:rPr>
        <w:t xml:space="preserve">HACK ZIKA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Event, </w:t>
      </w:r>
      <w:r w:rsidDel="00000000" w:rsidR="00000000" w:rsidRPr="00000000">
        <w:rPr>
          <w:rtl w:val="0"/>
        </w:rPr>
        <w:t xml:space="preserve">Septem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 2</w:t>
      </w:r>
      <w:r w:rsidDel="00000000" w:rsidR="00000000" w:rsidRPr="00000000">
        <w:rPr>
          <w:rtl w:val="0"/>
        </w:rPr>
        <w:t xml:space="preserve">9</w:t>
      </w:r>
      <w:r w:rsidDel="00000000" w:rsidR="00000000" w:rsidRPr="00000000">
        <w:rP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w:t>
      </w:r>
      <w:r w:rsidDel="00000000" w:rsidR="00000000" w:rsidRPr="00000000">
        <w:rPr>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September 26, 2017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Mr. Merrill,</w:t>
      </w:r>
    </w:p>
    <w:p w:rsidR="00000000" w:rsidDel="00000000" w:rsidP="00000000" w:rsidRDefault="00000000" w:rsidRPr="00000000">
      <w:pPr>
        <w:contextualSpacing w:val="0"/>
        <w:rPr/>
      </w:pPr>
      <w:r w:rsidDel="00000000" w:rsidR="00000000" w:rsidRPr="00000000">
        <w:rPr>
          <w:rtl w:val="0"/>
        </w:rPr>
        <w:t xml:space="preserve">The Information &amp; Innovation Office (IIO) is requesting approval of a $1,000 sponsorship for the Hack Zika 2017 event that will take place from September 29</w:t>
      </w:r>
      <w:r w:rsidDel="00000000" w:rsidR="00000000" w:rsidRPr="00000000">
        <w:rPr>
          <w:vertAlign w:val="superscript"/>
          <w:rtl w:val="0"/>
        </w:rPr>
        <w:t xml:space="preserve">th</w:t>
      </w:r>
      <w:r w:rsidDel="00000000" w:rsidR="00000000" w:rsidRPr="00000000">
        <w:rPr>
          <w:rtl w:val="0"/>
        </w:rPr>
        <w:t xml:space="preserve">, 2017 through October 7</w:t>
      </w:r>
      <w:r w:rsidDel="00000000" w:rsidR="00000000" w:rsidRPr="00000000">
        <w:rPr>
          <w:vertAlign w:val="superscript"/>
          <w:rtl w:val="0"/>
        </w:rPr>
        <w:t xml:space="preserve">th</w:t>
      </w:r>
      <w:r w:rsidDel="00000000" w:rsidR="00000000" w:rsidRPr="00000000">
        <w:rPr>
          <w:rtl w:val="0"/>
        </w:rPr>
        <w:t xml:space="preserve">, 2017. The $1,000 sponsorship will be funded from IIO’s Innovation &amp; Emerging Technologies budget. </w:t>
      </w:r>
    </w:p>
    <w:p w:rsidR="00000000" w:rsidDel="00000000" w:rsidP="00000000" w:rsidRDefault="00000000" w:rsidRPr="00000000">
      <w:pPr>
        <w:contextualSpacing w:val="0"/>
        <w:jc w:val="both"/>
        <w:rPr/>
      </w:pPr>
      <w:r w:rsidDel="00000000" w:rsidR="00000000" w:rsidRPr="00000000">
        <w:rPr>
          <w:rtl w:val="0"/>
        </w:rPr>
        <w:t xml:space="preserve">Hack Zika 2017</w:t>
      </w:r>
      <w:r w:rsidDel="00000000" w:rsidR="00000000" w:rsidRPr="00000000">
        <w:rPr>
          <w:rtl w:val="0"/>
        </w:rPr>
        <w:t xml:space="preserve">, is a competitive “Hackathon” designed to enlist volunteers in a community-driven effort to assist Hillsborough County Public Works Mosquito Control by creating computer applications requested by Mosquito Control staff.  The hackathon is being organized by Code for Tampa Bay, an organization devoted to creating partnerships between government staff and resident volunteers to develop innovative computer applications that benefit the Tampa Bay area.  Hack Zika 2017 has its roots in the hackathons originally sponsored by Hillsborough County five years ago.  </w:t>
      </w:r>
    </w:p>
    <w:p w:rsidR="00000000" w:rsidDel="00000000" w:rsidP="00000000" w:rsidRDefault="00000000" w:rsidRPr="00000000">
      <w:pPr>
        <w:spacing w:before="120" w:lineRule="auto"/>
        <w:contextualSpacing w:val="0"/>
        <w:jc w:val="both"/>
        <w:rPr>
          <w:highlight w:val="white"/>
        </w:rPr>
      </w:pPr>
      <w:r w:rsidDel="00000000" w:rsidR="00000000" w:rsidRPr="00000000">
        <w:rPr>
          <w:rtl w:val="0"/>
        </w:rPr>
        <w:t xml:space="preserve">Hack Zika is organized around four potential challenges for participants to work on that range from a public-education computer game to a prescriptive analytics model to optimize the selection of treatment areas. Public works personnel and other county staff will be attending the event as advisors to ensure the resulting products meet their needs, and will act as judges of the finished applications.  The hackathon will be covered by local media and is helping build awareness of the public-health threats posed by mosquitoes as well as government efforts to mitigate those threats.</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The name “Hack Zika” was chosen because IIO has been developing methods to respond to the Zika virus if an outbreak should occur in Hillsborough County and the resulting products will prove advantageous even if no  outbreak occurs. There are many kinds of mosquito borne illnesses and the challenges selected for this</w:t>
      </w:r>
    </w:p>
    <w:p w:rsidR="00000000" w:rsidDel="00000000" w:rsidP="00000000" w:rsidRDefault="00000000" w:rsidRPr="00000000">
      <w:pPr>
        <w:contextualSpacing w:val="0"/>
        <w:jc w:val="both"/>
        <w:rPr/>
      </w:pPr>
      <w:r w:rsidDel="00000000" w:rsidR="00000000" w:rsidRPr="00000000">
        <w:rPr>
          <w:rtl w:val="0"/>
        </w:rPr>
        <w:t xml:space="preserve">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ind w:right="-900"/>
        <w:contextualSpacing w:val="0"/>
        <w:jc w:val="both"/>
        <w:rPr/>
      </w:pPr>
      <w:r w:rsidDel="00000000" w:rsidR="00000000" w:rsidRPr="00000000">
        <w:rPr>
          <w:rtl w:val="0"/>
        </w:rPr>
        <w:t xml:space="preserve">competition are designed to reduce the threats  posed by mosquitoes in general.</w:t>
      </w:r>
    </w:p>
    <w:p w:rsidR="00000000" w:rsidDel="00000000" w:rsidP="00000000" w:rsidRDefault="00000000" w:rsidRPr="00000000">
      <w:pPr>
        <w:ind w:right="-900"/>
        <w:contextualSpacing w:val="0"/>
        <w:jc w:val="both"/>
        <w:rPr/>
      </w:pPr>
      <w:r w:rsidDel="00000000" w:rsidR="00000000" w:rsidRPr="00000000">
        <w:rPr>
          <w:rtl w:val="0"/>
        </w:rPr>
        <w:t xml:space="preserve">These free hackathons average between 50-100 participants, IIO is requesting to sponsor the Saturday night dinner, please see details below:</w:t>
      </w:r>
    </w:p>
    <w:p w:rsidR="00000000" w:rsidDel="00000000" w:rsidP="00000000" w:rsidRDefault="00000000" w:rsidRPr="00000000">
      <w:pPr>
        <w:ind w:right="-900"/>
        <w:contextualSpacing w:val="0"/>
        <w:jc w:val="both"/>
        <w:rPr/>
      </w:pPr>
      <w:r w:rsidDel="00000000" w:rsidR="00000000" w:rsidRPr="00000000">
        <w:rPr>
          <w:rtl w:val="0"/>
        </w:rPr>
      </w:r>
    </w:p>
    <w:tbl>
      <w:tblPr>
        <w:tblStyle w:val="Table2"/>
        <w:tblW w:w="7587.0" w:type="dxa"/>
        <w:jc w:val="left"/>
        <w:tblInd w:w="435.0" w:type="dxa"/>
        <w:tblBorders>
          <w:top w:color="000000" w:space="0" w:sz="4" w:val="single"/>
          <w:left w:color="000000" w:space="0" w:sz="4" w:val="single"/>
          <w:bottom w:color="000000" w:space="0" w:sz="4" w:val="single"/>
          <w:right w:color="000000" w:space="0" w:sz="4" w:val="single"/>
        </w:tblBorders>
        <w:tblLayout w:type="fixed"/>
        <w:tblLook w:val="0400"/>
      </w:tblPr>
      <w:tblGrid>
        <w:gridCol w:w="1620"/>
        <w:gridCol w:w="4860"/>
        <w:gridCol w:w="1107"/>
        <w:tblGridChange w:id="0">
          <w:tblGrid>
            <w:gridCol w:w="1620"/>
            <w:gridCol w:w="4860"/>
            <w:gridCol w:w="1107"/>
          </w:tblGrid>
        </w:tblGridChange>
      </w:tblGrid>
      <w:tr>
        <w:tc>
          <w:tcPr>
            <w:tcMar>
              <w:top w:w="0.0" w:type="dxa"/>
              <w:left w:w="108.0" w:type="dxa"/>
              <w:bottom w:w="0.0" w:type="dxa"/>
              <w:right w:w="108.0" w:type="dxa"/>
            </w:tcMar>
          </w:tcPr>
          <w:p w:rsidR="00000000" w:rsidDel="00000000" w:rsidP="00000000" w:rsidRDefault="00000000" w:rsidRPr="00000000">
            <w:pPr>
              <w:contextualSpacing w:val="0"/>
              <w:jc w:val="both"/>
              <w:rPr/>
            </w:pPr>
            <w:r w:rsidDel="00000000" w:rsidR="00000000" w:rsidRPr="00000000">
              <w:rPr>
                <w:rtl w:val="0"/>
              </w:rPr>
              <w:t xml:space="preserve">Silver Level</w:t>
            </w:r>
          </w:p>
          <w:p w:rsidR="00000000" w:rsidDel="00000000" w:rsidP="00000000" w:rsidRDefault="00000000" w:rsidRPr="00000000">
            <w:pPr>
              <w:contextualSpacing w:val="0"/>
              <w:jc w:val="both"/>
              <w:rPr/>
            </w:pPr>
            <w:r w:rsidDel="00000000" w:rsidR="00000000" w:rsidRPr="00000000">
              <w:rPr>
                <w:rtl w:val="0"/>
              </w:rPr>
              <w:t xml:space="preserve">(Dinner Sponsor)</w:t>
            </w:r>
          </w:p>
        </w:tc>
        <w:tc>
          <w:tcPr>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Includes logo placement on T-Shirt and in the revolving PPT presentation which runs at various times during the weekend, a banner hung in main event room, and recognition as a sponsor of one of the meal periods with shout out and placard at meal service, and larger logo on T-Shirt.</w:t>
            </w:r>
          </w:p>
        </w:tc>
        <w:tc>
          <w:tcPr>
            <w:tcMar>
              <w:top w:w="0.0" w:type="dxa"/>
              <w:left w:w="108.0" w:type="dxa"/>
              <w:bottom w:w="0.0" w:type="dxa"/>
              <w:right w:w="108.0" w:type="dxa"/>
            </w:tcMar>
          </w:tcPr>
          <w:p w:rsidR="00000000" w:rsidDel="00000000" w:rsidP="00000000" w:rsidRDefault="00000000" w:rsidRPr="00000000">
            <w:pPr>
              <w:contextualSpacing w:val="0"/>
              <w:jc w:val="both"/>
              <w:rPr/>
            </w:pPr>
            <w:r w:rsidDel="00000000" w:rsidR="00000000" w:rsidRPr="00000000">
              <w:rPr>
                <w:rtl w:val="0"/>
              </w:rPr>
              <w:t xml:space="preserve">$1,000.00</w:t>
            </w:r>
          </w:p>
        </w:tc>
      </w:tr>
    </w:tbl>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IIO will work with Communications to provide County branded handouts as well as coordinate logo delivery and placement at the event. I will, at a minimum, be attending the event to represent Hillsborough County. Additional staff will be informed and are welcome to attend based on availability. </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https://www.codeforamerica.org/donate</w:t>
        </w:r>
      </w:hyperlink>
      <w:r w:rsidDel="00000000" w:rsidR="00000000" w:rsidRPr="00000000">
        <w:rPr>
          <w:rtl w:val="0"/>
        </w:rPr>
        <w:t xml:space="preserve"> EIN number 27-1067272 select “Tampa Bay Brigade” from drop-down at bottom of page.</w:t>
      </w:r>
    </w:p>
    <w:p w:rsidR="00000000" w:rsidDel="00000000" w:rsidP="00000000" w:rsidRDefault="00000000" w:rsidRPr="00000000">
      <w:pPr>
        <w:contextualSpacing w:val="0"/>
        <w:rPr/>
      </w:pPr>
      <w:r w:rsidDel="00000000" w:rsidR="00000000" w:rsidRPr="00000000">
        <w:rPr>
          <w:rtl w:val="0"/>
        </w:rPr>
        <w:t xml:space="preserve">Thank you,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Kevin Kerrigan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Director, Innovation &amp; Emerging Technologies Division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&amp; Innovation Office</w:t>
      </w:r>
    </w:p>
    <w:sectPr>
      <w:headerReference r:id="rId6" w:type="default"/>
      <w:footerReference r:id="rId7" w:type="default"/>
      <w:pgSz w:h="15840" w:w="12240"/>
      <w:pgMar w:bottom="1440" w:top="1440" w:left="1440" w:right="117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00" w:lineRule="auto"/>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7290"/>
        <w:tab w:val="left" w:pos="7920"/>
      </w:tabs>
      <w:spacing w:after="0" w:before="720" w:line="200" w:lineRule="auto"/>
      <w:ind w:right="1440"/>
      <w:contextualSpacing w:val="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-463549</wp:posOffset>
          </wp:positionH>
          <wp:positionV relativeFrom="paragraph">
            <wp:posOffset>405765</wp:posOffset>
          </wp:positionV>
          <wp:extent cx="788670" cy="78867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8670" cy="78867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431165</wp:posOffset>
          </wp:positionH>
          <wp:positionV relativeFrom="paragraph">
            <wp:posOffset>533400</wp:posOffset>
          </wp:positionV>
          <wp:extent cx="1470025" cy="53086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470025" cy="530860"/>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4914900</wp:posOffset>
              </wp:positionH>
              <wp:positionV relativeFrom="paragraph">
                <wp:posOffset>431800</wp:posOffset>
              </wp:positionV>
              <wp:extent cx="1498600" cy="1981200"/>
              <wp:effectExtent b="0" l="0" r="0" t="0"/>
              <wp:wrapSquare wrapText="bothSides" distB="0" distT="0" distL="0" distR="0"/>
              <wp:docPr id="3" name=""/>
              <a:graphic>
                <a:graphicData uri="http://schemas.microsoft.com/office/word/2010/wordprocessingShape">
                  <wps:wsp>
                    <wps:cNvSpPr/>
                    <wps:cNvPr id="2" name="Shape 2"/>
                    <wps:spPr>
                      <a:xfrm>
                        <a:off x="4601144" y="2794163"/>
                        <a:ext cx="1489709" cy="1971675"/>
                      </a:xfrm>
                      <a:prstGeom prst="rect">
                        <a:avLst/>
                      </a:prstGeom>
                      <a:noFill/>
                      <a:ln>
                        <a:noFill/>
                      </a:ln>
                    </wps:spPr>
                    <wps:txbx>
                      <w:txbxContent>
                        <w:p w:rsidR="00000000" w:rsidDel="00000000" w:rsidP="00000000" w:rsidRDefault="00000000" w:rsidRPr="00000000">
                          <w:pPr>
                            <w:spacing w:after="0" w:before="6.9999998807907104" w:line="192.00000286102295"/>
                            <w:ind w:left="187.99999237060547" w:right="0" w:firstLine="32.99999952316284"/>
                            <w:jc w:val="right"/>
                            <w:textDirection w:val="btLr"/>
                          </w:pPr>
                          <w:r w:rsidDel="00000000" w:rsidR="00000000" w:rsidRPr="00000000">
                            <w:rPr>
                              <w:rFonts w:ascii="Calibri" w:cs="Calibri" w:eastAsia="Calibri" w:hAnsi="Calibri"/>
                              <w:b w:val="1"/>
                              <w:i w:val="0"/>
                              <w:smallCaps w:val="0"/>
                              <w:strike w:val="0"/>
                              <w:color w:val="164272"/>
                              <w:sz w:val="18"/>
                              <w:vertAlign w:val="baseline"/>
                            </w:rPr>
                            <w:t xml:space="preserve">BOARD OF COUNTY COMMISSIONERS</w:t>
                          </w:r>
                        </w:p>
                        <w:p w:rsidR="00000000" w:rsidDel="00000000" w:rsidP="00000000" w:rsidRDefault="00000000" w:rsidRPr="00000000">
                          <w:pPr>
                            <w:spacing w:after="0" w:before="30" w:line="240"/>
                            <w:ind w:left="562.0000076293945" w:right="4.000000059604645" w:firstLine="537.9999923706055"/>
                            <w:jc w:val="righ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164272"/>
                              <w:sz w:val="18"/>
                              <w:vertAlign w:val="baseline"/>
                            </w:rPr>
                            <w:t xml:space="preserve">Kevin Beckner Victor D. Crist Ken Hagan</w:t>
                          </w:r>
                        </w:p>
                        <w:p w:rsidR="00000000" w:rsidDel="00000000" w:rsidP="00000000" w:rsidRDefault="00000000" w:rsidRPr="00000000">
                          <w:pPr>
                            <w:spacing w:after="0" w:before="0" w:line="240"/>
                            <w:ind w:left="0" w:right="4.000000059604645"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164272"/>
                              <w:sz w:val="18"/>
                              <w:vertAlign w:val="baseline"/>
                            </w:rPr>
                            <w:t xml:space="preserve">Al Higginbotham</w:t>
                          </w:r>
                        </w:p>
                        <w:p w:rsidR="00000000" w:rsidDel="00000000" w:rsidP="00000000" w:rsidRDefault="00000000" w:rsidRPr="00000000">
                          <w:pPr>
                            <w:spacing w:after="0" w:before="0" w:line="240"/>
                            <w:ind w:left="-27.000000476837158" w:right="4.000000059604645" w:firstLine="-27.000000476837158"/>
                            <w:jc w:val="righ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164272"/>
                              <w:sz w:val="18"/>
                              <w:vertAlign w:val="baseline"/>
                            </w:rPr>
                            <w:t xml:space="preserve">Lesley “Les” Miller, Jr</w:t>
                          </w:r>
                        </w:p>
                        <w:p w:rsidR="00000000" w:rsidDel="00000000" w:rsidP="00000000" w:rsidRDefault="00000000" w:rsidRPr="00000000">
                          <w:pPr>
                            <w:spacing w:after="0" w:before="8.999999761581421" w:line="240"/>
                            <w:ind w:left="0" w:right="98.99999618530273" w:firstLine="0"/>
                            <w:jc w:val="right"/>
                            <w:textDirection w:val="btLr"/>
                          </w:pPr>
                          <w:r w:rsidDel="00000000" w:rsidR="00000000" w:rsidRPr="00000000">
                            <w:rPr>
                              <w:rFonts w:ascii="Calibri" w:cs="Calibri" w:eastAsia="Calibri" w:hAnsi="Calibri"/>
                              <w:b w:val="0"/>
                              <w:i w:val="0"/>
                              <w:smallCaps w:val="0"/>
                              <w:strike w:val="0"/>
                              <w:color w:val="164272"/>
                              <w:sz w:val="18"/>
                              <w:vertAlign w:val="baseline"/>
                            </w:rPr>
                          </w:r>
                          <w:r w:rsidDel="00000000" w:rsidR="00000000" w:rsidRPr="00000000">
                            <w:rPr>
                              <w:rFonts w:ascii="Calibri" w:cs="Calibri" w:eastAsia="Calibri" w:hAnsi="Calibri"/>
                              <w:b w:val="0"/>
                              <w:i w:val="0"/>
                              <w:smallCaps w:val="0"/>
                              <w:strike w:val="0"/>
                              <w:color w:val="164272"/>
                              <w:sz w:val="18"/>
                              <w:vertAlign w:val="baseline"/>
                            </w:rPr>
                            <w:t xml:space="preserve">Sandra L. Murman</w:t>
                          </w:r>
                        </w:p>
                        <w:p w:rsidR="00000000" w:rsidDel="00000000" w:rsidP="00000000" w:rsidRDefault="00000000" w:rsidRPr="00000000">
                          <w:pPr>
                            <w:spacing w:after="0" w:before="1.0000000149011612" w:line="237.9999876022339"/>
                            <w:ind w:left="-32.99999952316284" w:right="96.99999809265137" w:firstLine="919.0000152587891"/>
                            <w:jc w:val="righ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164272"/>
                              <w:sz w:val="18"/>
                              <w:vertAlign w:val="baseline"/>
                            </w:rPr>
                            <w:t xml:space="preserve">Stacy R. White </w:t>
                          </w:r>
                          <w:r w:rsidDel="00000000" w:rsidR="00000000" w:rsidRPr="00000000">
                            <w:rPr>
                              <w:rFonts w:ascii="Calibri" w:cs="Calibri" w:eastAsia="Calibri" w:hAnsi="Calibri"/>
                              <w:b w:val="1"/>
                              <w:i w:val="0"/>
                              <w:smallCaps w:val="0"/>
                              <w:strike w:val="0"/>
                              <w:color w:val="164272"/>
                              <w:sz w:val="18"/>
                              <w:vertAlign w:val="baseline"/>
                            </w:rPr>
                            <w:t xml:space="preserve">COUNTY ADMINISTRATOR </w:t>
                          </w:r>
                          <w:r w:rsidDel="00000000" w:rsidR="00000000" w:rsidRPr="00000000">
                            <w:rPr>
                              <w:rFonts w:ascii="Calibri" w:cs="Calibri" w:eastAsia="Calibri" w:hAnsi="Calibri"/>
                              <w:b w:val="0"/>
                              <w:i w:val="0"/>
                              <w:smallCaps w:val="0"/>
                              <w:strike w:val="0"/>
                              <w:color w:val="164272"/>
                              <w:sz w:val="18"/>
                              <w:vertAlign w:val="baseline"/>
                            </w:rPr>
                            <w:t xml:space="preserve">Michael S. Merrill</w:t>
                          </w:r>
                        </w:p>
                        <w:p w:rsidR="00000000" w:rsidDel="00000000" w:rsidP="00000000" w:rsidRDefault="00000000" w:rsidRPr="00000000">
                          <w:pPr>
                            <w:spacing w:after="0" w:before="20" w:line="240"/>
                            <w:ind w:left="0" w:right="96.99999809265137"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1"/>
                              <w:i w:val="0"/>
                              <w:smallCaps w:val="0"/>
                              <w:strike w:val="0"/>
                              <w:color w:val="164272"/>
                              <w:sz w:val="18"/>
                              <w:vertAlign w:val="baseline"/>
                            </w:rPr>
                            <w:t xml:space="preserve">COUNTY ATTORNEY</w:t>
                          </w:r>
                        </w:p>
                        <w:p w:rsidR="00000000" w:rsidDel="00000000" w:rsidP="00000000" w:rsidRDefault="00000000" w:rsidRPr="00000000">
                          <w:pPr>
                            <w:spacing w:after="0" w:before="0" w:line="251.00000381469727"/>
                            <w:ind w:left="450" w:right="96.99999809265137" w:firstLine="1059.000015258789"/>
                            <w:jc w:val="righ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164272"/>
                              <w:sz w:val="18"/>
                              <w:vertAlign w:val="baseline"/>
                            </w:rPr>
                            <w:t xml:space="preserve">Chip Fletcher </w:t>
                          </w:r>
                          <w:r w:rsidDel="00000000" w:rsidR="00000000" w:rsidRPr="00000000">
                            <w:rPr>
                              <w:rFonts w:ascii="Calibri" w:cs="Calibri" w:eastAsia="Calibri" w:hAnsi="Calibri"/>
                              <w:b w:val="1"/>
                              <w:i w:val="0"/>
                              <w:smallCaps w:val="0"/>
                              <w:strike w:val="0"/>
                              <w:color w:val="164272"/>
                              <w:sz w:val="18"/>
                              <w:vertAlign w:val="baseline"/>
                            </w:rPr>
                            <w:t xml:space="preserve">INTERNAL AUDITOR </w:t>
                          </w:r>
                          <w:r w:rsidDel="00000000" w:rsidR="00000000" w:rsidRPr="00000000">
                            <w:rPr>
                              <w:rFonts w:ascii="Calibri" w:cs="Calibri" w:eastAsia="Calibri" w:hAnsi="Calibri"/>
                              <w:b w:val="0"/>
                              <w:i w:val="0"/>
                              <w:smallCaps w:val="0"/>
                              <w:strike w:val="0"/>
                              <w:color w:val="164272"/>
                              <w:sz w:val="18"/>
                              <w:vertAlign w:val="baseline"/>
                            </w:rPr>
                            <w:t xml:space="preserve">Peggy Caskey</w:t>
                          </w:r>
                        </w:p>
                        <w:p w:rsidR="00000000" w:rsidDel="00000000" w:rsidP="00000000" w:rsidRDefault="00000000" w:rsidRPr="00000000">
                          <w:pPr>
                            <w:spacing w:after="0" w:before="0" w:line="251.00000381469727"/>
                            <w:ind w:left="450" w:right="96.99999809265137" w:firstLine="1059.000015258789"/>
                            <w:jc w:val="right"/>
                            <w:textDirection w:val="btLr"/>
                          </w:pPr>
                          <w:r w:rsidDel="00000000" w:rsidR="00000000" w:rsidRPr="00000000">
                            <w:rPr>
                              <w:rFonts w:ascii="Calibri" w:cs="Calibri" w:eastAsia="Calibri" w:hAnsi="Calibri"/>
                              <w:b w:val="0"/>
                              <w:i w:val="0"/>
                              <w:smallCaps w:val="0"/>
                              <w:strike w:val="0"/>
                              <w:color w:val="164272"/>
                              <w:sz w:val="18"/>
                              <w:vertAlign w:val="baseline"/>
                            </w:rPr>
                          </w:r>
                        </w:p>
                        <w:p w:rsidR="00000000" w:rsidDel="00000000" w:rsidP="00000000" w:rsidRDefault="00000000" w:rsidRPr="00000000">
                          <w:pPr>
                            <w:spacing w:after="0" w:before="0" w:line="240"/>
                            <w:ind w:left="-27.000000476837158" w:right="4.000000059604645" w:firstLine="-27.000000476837158"/>
                            <w:jc w:val="right"/>
                            <w:textDirection w:val="btLr"/>
                          </w:pPr>
                          <w:r w:rsidDel="00000000" w:rsidR="00000000" w:rsidRPr="00000000">
                            <w:rPr>
                              <w:rFonts w:ascii="Calibri" w:cs="Calibri" w:eastAsia="Calibri" w:hAnsi="Calibri"/>
                              <w:b w:val="0"/>
                              <w:i w:val="0"/>
                              <w:smallCaps w:val="0"/>
                              <w:strike w:val="0"/>
                              <w:color w:val="000000"/>
                              <w:sz w:val="18"/>
                              <w:vertAlign w:val="baseline"/>
                            </w:rPr>
                          </w:r>
                          <w:r w:rsidDel="00000000" w:rsidR="00000000" w:rsidRPr="00000000">
                            <w:rPr>
                              <w:rFonts w:ascii="Calibri" w:cs="Calibri" w:eastAsia="Calibri" w:hAnsi="Calibri"/>
                              <w:b w:val="0"/>
                              <w:i w:val="0"/>
                              <w:smallCaps w:val="0"/>
                              <w:strike w:val="0"/>
                              <w:color w:val="164272"/>
                              <w:sz w:val="18"/>
                              <w:vertAlign w:val="baseline"/>
                            </w:rPr>
                            <w:t xml:space="preserve">.</w:t>
                          </w:r>
                        </w:p>
                      </w:txbxContent>
                    </wps:txbx>
                    <wps:bodyPr anchorCtr="0" anchor="t" bIns="0" lIns="0" rIns="0" wrap="square" tIns="0"/>
                  </wps:wsp>
                </a:graphicData>
              </a:graphic>
            </wp:anchor>
          </w:drawing>
        </mc:Choice>
        <mc:Fallback>
          <w:drawing>
            <wp:anchor allowOverlap="1" behindDoc="0" distB="0" distT="0" distL="0" distR="0" hidden="0" layoutInCell="1" locked="0" relativeHeight="0" simplePos="0">
              <wp:simplePos x="0" y="0"/>
              <wp:positionH relativeFrom="margin">
                <wp:posOffset>4914900</wp:posOffset>
              </wp:positionH>
              <wp:positionV relativeFrom="paragraph">
                <wp:posOffset>431800</wp:posOffset>
              </wp:positionV>
              <wp:extent cx="1498600" cy="19812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498600" cy="19812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odeforamerica.org/donate" TargetMode="Externa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 Id="rId3" Type="http://schemas.openxmlformats.org/officeDocument/2006/relationships/image" Target="media/image6.png"/></Relationships>
</file>