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C6C0" w14:textId="47B35E5B" w:rsidR="004B6F1C" w:rsidRPr="00B477F7" w:rsidRDefault="00A15CF8">
      <w:pPr>
        <w:widowControl w:val="0"/>
        <w:spacing w:line="480" w:lineRule="auto"/>
        <w:ind w:left="480" w:hanging="480"/>
        <w:jc w:val="center"/>
        <w:rPr>
          <w:b/>
          <w:color w:val="000000"/>
        </w:rPr>
      </w:pPr>
      <w:r w:rsidRPr="00B477F7">
        <w:rPr>
          <w:b/>
          <w:color w:val="000000"/>
        </w:rPr>
        <w:t>Appendix S</w:t>
      </w:r>
      <w:r w:rsidR="00335715">
        <w:rPr>
          <w:b/>
          <w:color w:val="000000"/>
        </w:rPr>
        <w:t>1</w:t>
      </w:r>
      <w:r w:rsidRPr="00B477F7">
        <w:rPr>
          <w:b/>
          <w:color w:val="000000"/>
        </w:rPr>
        <w:t xml:space="preserve">. </w:t>
      </w:r>
      <w:r w:rsidR="009A4850">
        <w:rPr>
          <w:b/>
          <w:color w:val="000000"/>
        </w:rPr>
        <w:t>Picture</w:t>
      </w:r>
      <w:r w:rsidRPr="00B477F7">
        <w:rPr>
          <w:b/>
          <w:color w:val="000000"/>
        </w:rPr>
        <w:t xml:space="preserve"> complexity effects on eye-movements</w:t>
      </w:r>
    </w:p>
    <w:p w14:paraId="53C8C6C1" w14:textId="0CEA5241" w:rsidR="004B6F1C" w:rsidRPr="00B477F7" w:rsidRDefault="00A15CF8">
      <w:pPr>
        <w:spacing w:line="480" w:lineRule="auto"/>
        <w:ind w:firstLine="720"/>
        <w:rPr>
          <w:color w:val="000000"/>
        </w:rPr>
      </w:pPr>
      <w:r w:rsidRPr="00B477F7">
        <w:rPr>
          <w:color w:val="000000"/>
        </w:rPr>
        <w:t xml:space="preserve">In the </w:t>
      </w:r>
      <w:r w:rsidR="00335715">
        <w:rPr>
          <w:color w:val="000000"/>
        </w:rPr>
        <w:t xml:space="preserve">RT </w:t>
      </w:r>
      <w:r w:rsidRPr="00B477F7">
        <w:rPr>
          <w:color w:val="000000"/>
        </w:rPr>
        <w:t>mixed-effects analys</w:t>
      </w:r>
      <w:r w:rsidR="00335715">
        <w:rPr>
          <w:color w:val="000000"/>
        </w:rPr>
        <w:t>i</w:t>
      </w:r>
      <w:r w:rsidRPr="00B477F7">
        <w:rPr>
          <w:color w:val="000000"/>
        </w:rPr>
        <w:t xml:space="preserve">s, we controlled for </w:t>
      </w:r>
      <w:r w:rsidR="009A4850">
        <w:rPr>
          <w:color w:val="000000"/>
        </w:rPr>
        <w:t>picture</w:t>
      </w:r>
      <w:r w:rsidRPr="00B477F7">
        <w:rPr>
          <w:color w:val="000000"/>
        </w:rPr>
        <w:t xml:space="preserve"> complexity by including the variable </w:t>
      </w:r>
      <w:r w:rsidRPr="00335715">
        <w:rPr>
          <w:smallCaps/>
          <w:color w:val="000000"/>
        </w:rPr>
        <w:t>Target</w:t>
      </w:r>
      <w:r w:rsidRPr="00B477F7">
        <w:rPr>
          <w:color w:val="000000"/>
        </w:rPr>
        <w:t>, which refers to the target referent being singular (one alien depicted; 3SG in the audio) or plural (two aliens depicted; 3PL in the audio). This was necessary because pictures that are more complex have been found to attract more looks than less complex pictures (e.g., Lukyanenko &amp; Fisher, 2016; Schlenter, 2019).</w:t>
      </w:r>
    </w:p>
    <w:p w14:paraId="53C8C6C2" w14:textId="0B57F7C9" w:rsidR="004B6F1C" w:rsidRPr="00B477F7" w:rsidRDefault="00A15CF8">
      <w:pPr>
        <w:spacing w:line="480" w:lineRule="auto"/>
        <w:ind w:firstLine="720"/>
        <w:rPr>
          <w:color w:val="000000"/>
        </w:rPr>
      </w:pPr>
      <w:r w:rsidRPr="00B477F7">
        <w:rPr>
          <w:color w:val="000000"/>
        </w:rPr>
        <w:t>The</w:t>
      </w:r>
      <w:r w:rsidR="00224B49">
        <w:rPr>
          <w:color w:val="000000"/>
        </w:rPr>
        <w:t xml:space="preserve"> model</w:t>
      </w:r>
      <w:r w:rsidRPr="00B477F7">
        <w:rPr>
          <w:color w:val="000000"/>
        </w:rPr>
        <w:t xml:space="preserve"> </w:t>
      </w:r>
      <w:r w:rsidR="00335715">
        <w:rPr>
          <w:color w:val="000000"/>
        </w:rPr>
        <w:t>outcomes</w:t>
      </w:r>
      <w:r w:rsidRPr="00B477F7">
        <w:rPr>
          <w:color w:val="000000"/>
        </w:rPr>
        <w:t xml:space="preserve"> </w:t>
      </w:r>
      <w:r w:rsidR="00335715">
        <w:rPr>
          <w:color w:val="000000"/>
        </w:rPr>
        <w:t>revealed</w:t>
      </w:r>
      <w:r w:rsidRPr="00B477F7">
        <w:rPr>
          <w:color w:val="000000"/>
        </w:rPr>
        <w:t xml:space="preserve"> effects of </w:t>
      </w:r>
      <w:r w:rsidR="009A4850">
        <w:rPr>
          <w:color w:val="000000"/>
        </w:rPr>
        <w:t>picture</w:t>
      </w:r>
      <w:r w:rsidRPr="00B477F7">
        <w:rPr>
          <w:color w:val="000000"/>
        </w:rPr>
        <w:t xml:space="preserve"> complexity. The overall prediction effect in our study was delayed when target number was singular, and occurred earlier when it was plural. The pictures displaying a plural agent attracted more looks than the less complex pictures with a singular agent, such that in different-number trials, recognition was sped up in plural target trials relative to singular target trials (</w:t>
      </w:r>
      <w:r w:rsidRPr="00B477F7">
        <w:rPr>
          <w:color w:val="1F4E79" w:themeColor="accent5" w:themeShade="80"/>
        </w:rPr>
        <w:t>Figure S1.1</w:t>
      </w:r>
      <w:r w:rsidRPr="00B477F7">
        <w:rPr>
          <w:color w:val="000000"/>
        </w:rPr>
        <w:t xml:space="preserve"> illustrates this effect). Any researcher planning to develop a visual-world paradigm study should be aware of potential influences of </w:t>
      </w:r>
      <w:r w:rsidR="009A4850">
        <w:rPr>
          <w:color w:val="000000"/>
        </w:rPr>
        <w:t>picture</w:t>
      </w:r>
      <w:r w:rsidRPr="00B477F7">
        <w:rPr>
          <w:color w:val="000000"/>
        </w:rPr>
        <w:t xml:space="preserve"> complexity on eye-movements and should control for them by adopting a counterbalanced study design (Godfroid, 2020).</w:t>
      </w:r>
    </w:p>
    <w:p w14:paraId="53C8C6C3" w14:textId="3C8DE1EF" w:rsidR="004B6F1C" w:rsidRPr="00B477F7" w:rsidRDefault="00A15CF8">
      <w:pPr>
        <w:keepNext/>
        <w:keepLines/>
        <w:spacing w:line="480" w:lineRule="auto"/>
        <w:rPr>
          <w:b/>
          <w:color w:val="000000"/>
        </w:rPr>
      </w:pPr>
      <w:r w:rsidRPr="00B477F7">
        <w:rPr>
          <w:b/>
          <w:color w:val="000000"/>
        </w:rPr>
        <w:lastRenderedPageBreak/>
        <w:t>Figure S</w:t>
      </w:r>
      <w:r w:rsidR="00335715">
        <w:rPr>
          <w:b/>
          <w:color w:val="000000"/>
        </w:rPr>
        <w:t>1</w:t>
      </w:r>
      <w:r w:rsidRPr="00B477F7">
        <w:rPr>
          <w:b/>
          <w:color w:val="000000"/>
        </w:rPr>
        <w:t>.1</w:t>
      </w:r>
    </w:p>
    <w:p w14:paraId="53C8C6C5" w14:textId="4168F532" w:rsidR="004B6F1C" w:rsidRPr="00B70CD1" w:rsidRDefault="00A15CF8" w:rsidP="00B70C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Cs/>
          <w:color w:val="000000"/>
        </w:rPr>
      </w:pPr>
      <w:r w:rsidRPr="00B477F7">
        <w:rPr>
          <w:i/>
          <w:color w:val="000000"/>
        </w:rPr>
        <w:t xml:space="preserve">Proportion of fixations towards the target </w:t>
      </w:r>
      <w:r w:rsidR="009A4850">
        <w:rPr>
          <w:i/>
          <w:color w:val="000000"/>
        </w:rPr>
        <w:t>picture</w:t>
      </w:r>
      <w:r w:rsidRPr="00B477F7">
        <w:rPr>
          <w:i/>
          <w:color w:val="000000"/>
        </w:rPr>
        <w:t xml:space="preserve"> over time as a function of the interaction between </w:t>
      </w:r>
      <w:r w:rsidRPr="00224B49">
        <w:rPr>
          <w:i/>
          <w:smallCaps/>
          <w:color w:val="000000"/>
        </w:rPr>
        <w:t>Trial condition</w:t>
      </w:r>
      <w:r w:rsidRPr="00B477F7">
        <w:rPr>
          <w:i/>
          <w:color w:val="000000"/>
        </w:rPr>
        <w:t xml:space="preserve"> and </w:t>
      </w:r>
      <w:r w:rsidRPr="00224B49">
        <w:rPr>
          <w:i/>
          <w:smallCaps/>
          <w:color w:val="000000"/>
        </w:rPr>
        <w:t>Target</w:t>
      </w:r>
      <w:r w:rsidR="00B70CD1">
        <w:rPr>
          <w:i/>
          <w:noProof/>
          <w:color w:val="000000"/>
        </w:rPr>
        <w:drawing>
          <wp:inline distT="0" distB="0" distL="0" distR="0" wp14:anchorId="13E496C8" wp14:editId="7CC8838D">
            <wp:extent cx="5731510" cy="286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6C6" w14:textId="77777777" w:rsidR="004B6F1C" w:rsidRPr="00B477F7" w:rsidRDefault="00A15CF8">
      <w:pPr>
        <w:keepNext/>
        <w:keepLines/>
        <w:spacing w:line="480" w:lineRule="auto"/>
        <w:rPr>
          <w:color w:val="000000"/>
        </w:rPr>
      </w:pPr>
      <w:r w:rsidRPr="00B477F7">
        <w:rPr>
          <w:i/>
          <w:color w:val="000000"/>
        </w:rPr>
        <w:t>Note</w:t>
      </w:r>
      <w:r w:rsidRPr="00B477F7">
        <w:rPr>
          <w:color w:val="000000"/>
        </w:rPr>
        <w:t>. Error bands represent 95% confidence intervals.</w:t>
      </w:r>
    </w:p>
    <w:p w14:paraId="53C8C6C7" w14:textId="77777777" w:rsidR="004B6F1C" w:rsidRPr="00B477F7" w:rsidRDefault="004B6F1C" w:rsidP="005832FF">
      <w:pPr>
        <w:spacing w:line="480" w:lineRule="auto"/>
        <w:rPr>
          <w:color w:val="000000"/>
        </w:rPr>
      </w:pPr>
    </w:p>
    <w:p w14:paraId="53C8C6C8" w14:textId="77777777" w:rsidR="004B6F1C" w:rsidRPr="00B477F7" w:rsidRDefault="00A15CF8" w:rsidP="005832FF">
      <w:pPr>
        <w:keepNext/>
        <w:spacing w:line="480" w:lineRule="auto"/>
        <w:rPr>
          <w:b/>
          <w:i/>
          <w:color w:val="000000"/>
        </w:rPr>
      </w:pPr>
      <w:r w:rsidRPr="00B477F7">
        <w:rPr>
          <w:b/>
          <w:i/>
          <w:color w:val="000000"/>
        </w:rPr>
        <w:t>References</w:t>
      </w:r>
    </w:p>
    <w:p w14:paraId="26B6E461" w14:textId="538C37F2" w:rsidR="005832FF" w:rsidRPr="00B477F7" w:rsidRDefault="005832FF" w:rsidP="005832FF">
      <w:pPr>
        <w:widowControl w:val="0"/>
        <w:spacing w:line="480" w:lineRule="auto"/>
        <w:ind w:left="480" w:hanging="480"/>
        <w:rPr>
          <w:color w:val="000000"/>
        </w:rPr>
      </w:pPr>
      <w:r w:rsidRPr="00B477F7">
        <w:t xml:space="preserve">Godfroid, A. (2020). </w:t>
      </w:r>
      <w:r w:rsidRPr="00B477F7">
        <w:rPr>
          <w:i/>
        </w:rPr>
        <w:t>Eye tracking in second language acquisition and bilingualism: A research synthesis and methodological guide</w:t>
      </w:r>
      <w:r w:rsidRPr="00B477F7">
        <w:t xml:space="preserve">. Routledge. </w:t>
      </w:r>
      <w:hyperlink r:id="rId8" w:history="1">
        <w:r w:rsidR="00C051F2" w:rsidRPr="00C051F2">
          <w:rPr>
            <w:rStyle w:val="Hyperlink"/>
            <w:color w:val="000000" w:themeColor="text1"/>
            <w:u w:val="none"/>
          </w:rPr>
          <w:t>https://www.routledge.com/Eye-Tracking-in-Second-Language-Acquisition-and-Bilingualism-A-Research/Godfroid/p/book/9781138024670</w:t>
        </w:r>
      </w:hyperlink>
    </w:p>
    <w:p w14:paraId="7BF15989" w14:textId="261B4AC2" w:rsidR="005832FF" w:rsidRPr="00B477F7" w:rsidRDefault="00A15CF8" w:rsidP="005832FF">
      <w:pPr>
        <w:widowControl w:val="0"/>
        <w:spacing w:line="480" w:lineRule="auto"/>
        <w:ind w:left="480" w:hanging="480"/>
        <w:rPr>
          <w:color w:val="000000"/>
        </w:rPr>
      </w:pPr>
      <w:r w:rsidRPr="00B477F7">
        <w:rPr>
          <w:color w:val="000000"/>
        </w:rPr>
        <w:t xml:space="preserve">Lukyanenko, C., &amp; Fisher, C. (2016). Where are the cookies? Two- and three-year-olds use number-marked verbs to anticipate upcoming nouns. </w:t>
      </w:r>
      <w:r w:rsidRPr="00B477F7">
        <w:rPr>
          <w:i/>
          <w:color w:val="000000"/>
        </w:rPr>
        <w:t>Cognition</w:t>
      </w:r>
      <w:r w:rsidRPr="00B477F7">
        <w:rPr>
          <w:color w:val="000000"/>
        </w:rPr>
        <w:t xml:space="preserve">, </w:t>
      </w:r>
      <w:r w:rsidRPr="00B477F7">
        <w:rPr>
          <w:i/>
          <w:color w:val="000000"/>
        </w:rPr>
        <w:t>146</w:t>
      </w:r>
      <w:r w:rsidRPr="00B477F7">
        <w:rPr>
          <w:color w:val="000000"/>
        </w:rPr>
        <w:t xml:space="preserve">, 349–370. </w:t>
      </w:r>
      <w:hyperlink r:id="rId9" w:history="1">
        <w:r w:rsidR="00C051F2" w:rsidRPr="00C051F2">
          <w:rPr>
            <w:rStyle w:val="Hyperlink"/>
            <w:color w:val="000000" w:themeColor="text1"/>
            <w:u w:val="none"/>
          </w:rPr>
          <w:t>https://doi.org/10.1016/j.cognition.2015.10.012</w:t>
        </w:r>
      </w:hyperlink>
    </w:p>
    <w:p w14:paraId="53C8C6CB" w14:textId="567ABD1F" w:rsidR="004B6F1C" w:rsidRDefault="00A15CF8">
      <w:pPr>
        <w:widowControl w:val="0"/>
        <w:spacing w:line="480" w:lineRule="auto"/>
        <w:ind w:left="480" w:hanging="480"/>
        <w:rPr>
          <w:color w:val="000000"/>
        </w:rPr>
      </w:pPr>
      <w:r w:rsidRPr="00B477F7">
        <w:rPr>
          <w:color w:val="000000"/>
        </w:rPr>
        <w:t xml:space="preserve">Schlenter, J. (2019). </w:t>
      </w:r>
      <w:r w:rsidRPr="00B477F7">
        <w:rPr>
          <w:i/>
          <w:color w:val="000000"/>
        </w:rPr>
        <w:t>Predictive language processing in late bilinguals: Evidence from visual-world eye-tracking</w:t>
      </w:r>
      <w:r w:rsidRPr="00B477F7">
        <w:rPr>
          <w:color w:val="000000"/>
        </w:rPr>
        <w:t xml:space="preserve"> [Doctoral dissertation, University of Potsdam]. Publication Server of the University of Potsdam. </w:t>
      </w:r>
      <w:hyperlink r:id="rId10" w:history="1">
        <w:r w:rsidR="00C051F2" w:rsidRPr="00C051F2">
          <w:rPr>
            <w:rStyle w:val="Hyperlink"/>
            <w:color w:val="000000" w:themeColor="text1"/>
            <w:u w:val="none"/>
          </w:rPr>
          <w:t>https://doi.org/10.25932/publishup-43249</w:t>
        </w:r>
      </w:hyperlink>
    </w:p>
    <w:sectPr w:rsidR="004B6F1C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2CE5" w14:textId="77777777" w:rsidR="006B10F5" w:rsidRDefault="006B10F5">
      <w:r>
        <w:separator/>
      </w:r>
    </w:p>
  </w:endnote>
  <w:endnote w:type="continuationSeparator" w:id="0">
    <w:p w14:paraId="38BF56E5" w14:textId="77777777" w:rsidR="006B10F5" w:rsidRDefault="006B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86BD" w14:textId="77777777" w:rsidR="006B10F5" w:rsidRDefault="006B10F5">
      <w:r>
        <w:separator/>
      </w:r>
    </w:p>
  </w:footnote>
  <w:footnote w:type="continuationSeparator" w:id="0">
    <w:p w14:paraId="1A2BE88C" w14:textId="77777777" w:rsidR="006B10F5" w:rsidRDefault="006B1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C6D0" w14:textId="77777777" w:rsidR="004B6F1C" w:rsidRDefault="00A15C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B10F5">
      <w:rPr>
        <w:color w:val="000000"/>
      </w:rPr>
      <w:fldChar w:fldCharType="separate"/>
    </w:r>
    <w:r>
      <w:rPr>
        <w:color w:val="000000"/>
      </w:rPr>
      <w:fldChar w:fldCharType="end"/>
    </w:r>
  </w:p>
  <w:p w14:paraId="53C8C6D1" w14:textId="77777777" w:rsidR="004B6F1C" w:rsidRDefault="004B6F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C6D2" w14:textId="13D489B0" w:rsidR="004B6F1C" w:rsidRDefault="00A15C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32FF">
      <w:rPr>
        <w:noProof/>
        <w:color w:val="000000"/>
      </w:rPr>
      <w:t>1</w:t>
    </w:r>
    <w:r>
      <w:rPr>
        <w:color w:val="000000"/>
      </w:rPr>
      <w:fldChar w:fldCharType="end"/>
    </w:r>
  </w:p>
  <w:p w14:paraId="53C8C6D3" w14:textId="77777777" w:rsidR="004B6F1C" w:rsidRDefault="004B6F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1C"/>
    <w:rsid w:val="00224B49"/>
    <w:rsid w:val="00335715"/>
    <w:rsid w:val="004B6F1C"/>
    <w:rsid w:val="005832FF"/>
    <w:rsid w:val="005C250F"/>
    <w:rsid w:val="006064AF"/>
    <w:rsid w:val="006B10F5"/>
    <w:rsid w:val="007F6BF8"/>
    <w:rsid w:val="009A4850"/>
    <w:rsid w:val="00A15CF8"/>
    <w:rsid w:val="00B477F7"/>
    <w:rsid w:val="00B70CD1"/>
    <w:rsid w:val="00C051F2"/>
    <w:rsid w:val="00C143D6"/>
    <w:rsid w:val="00C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8C574"/>
  <w15:docId w15:val="{4ACC3BD1-B614-144B-A89E-E602EC3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86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D08"/>
    <w:rPr>
      <w:rFonts w:ascii="Times New Roman" w:eastAsia="Times New Roman" w:hAnsi="Times New Roman" w:cs="Times New Roman"/>
      <w:lang w:val="en-US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86D08"/>
  </w:style>
  <w:style w:type="paragraph" w:styleId="ListParagraph">
    <w:name w:val="List Paragraph"/>
    <w:basedOn w:val="Normal"/>
    <w:uiPriority w:val="34"/>
    <w:qFormat/>
    <w:rsid w:val="00EB7CC5"/>
    <w:pPr>
      <w:ind w:left="720"/>
      <w:contextualSpacing/>
    </w:pPr>
    <w:rPr>
      <w:rFonts w:asciiTheme="minorHAnsi" w:eastAsiaTheme="minorHAnsi" w:hAnsiTheme="minorHAnsi" w:cstheme="minorBidi"/>
      <w:lang w:val="en-BE" w:eastAsia="en-US"/>
    </w:rPr>
  </w:style>
  <w:style w:type="paragraph" w:styleId="Footer">
    <w:name w:val="footer"/>
    <w:basedOn w:val="Normal"/>
    <w:link w:val="FooterChar"/>
    <w:uiPriority w:val="99"/>
    <w:unhideWhenUsed/>
    <w:rsid w:val="006762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48"/>
    <w:rPr>
      <w:rFonts w:ascii="Times New Roman" w:eastAsia="Times New Roman" w:hAnsi="Times New Roman" w:cs="Times New Roman"/>
      <w:lang w:val="en-US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83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F6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B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B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utledge.com/Eye-Tracking-in-Second-Language-Acquisition-and-Bilingualism-A-Research/Godfroid/p/book/97811380246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25932/publishup-432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gnition.2015.10.0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yvbxkymUTSLYW/hWdhFD5HPqA==">AMUW2mU4qrU6HuaXBwGkZVjsH/iap5I5HvF624mSvEc+yLI6gWwWqR48hPXsvhRP6O6XAJqxHFv8j75eC6KZw3SVdGqPDJ3Bl3snJ0nj3zXB0huaOAC3W2yRibMe41wlxtXQ3sT3gzNpIVpzD5Fo39NVMH9yoy1b4jLRh3TWXpB8wo6LvDDddYFg8eFU1MyE20XmXdVrf9yZl014GQKs+RDdXetjrl7MnN/EqoaXP5YE1hyDw20dCP9Pg0OrL8RACJtC/0vAfJKA0g+BaLugZo+oxKKDLr786gRHWFTu3u6GRyLQ8xFSxIJqzlqDCRIfhP6seyjvg1Mq6vcJDw9B4JhbgBnhRSob9OQFTXJSK8VB6KfzNwSikov7WKnun0NjPW7HBD/Qsi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1983</Characters>
  <Application>Microsoft Office Word</Application>
  <DocSecurity>0</DocSecurity>
  <Lines>198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Eva Marie KOCH</cp:lastModifiedBy>
  <cp:revision>14</cp:revision>
  <dcterms:created xsi:type="dcterms:W3CDTF">2021-06-21T20:43:00Z</dcterms:created>
  <dcterms:modified xsi:type="dcterms:W3CDTF">2021-10-29T11:24:00Z</dcterms:modified>
  <cp:category/>
</cp:coreProperties>
</file>