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8BC69" w14:textId="6B97965A" w:rsidR="00F41429" w:rsidRPr="00F41429" w:rsidRDefault="00F41429" w:rsidP="00F41429">
      <w:pPr>
        <w:ind w:left="720" w:hanging="360"/>
        <w:jc w:val="center"/>
        <w:rPr>
          <w:rFonts w:ascii="Times New Roman" w:hAnsi="Times New Roman" w:cs="Times New Roman"/>
          <w:sz w:val="24"/>
          <w:szCs w:val="24"/>
        </w:rPr>
      </w:pPr>
      <w:r w:rsidRPr="00F41429">
        <w:rPr>
          <w:rFonts w:ascii="Times New Roman" w:hAnsi="Times New Roman" w:cs="Times New Roman"/>
          <w:sz w:val="24"/>
          <w:szCs w:val="24"/>
        </w:rPr>
        <w:t xml:space="preserve">Supplementary Material for </w:t>
      </w:r>
    </w:p>
    <w:p w14:paraId="316FECE3" w14:textId="1F66CE66" w:rsidR="00F41429" w:rsidRPr="00F41429" w:rsidRDefault="00F41429" w:rsidP="00F41429">
      <w:pPr>
        <w:ind w:left="720" w:hanging="360"/>
        <w:jc w:val="center"/>
        <w:rPr>
          <w:rFonts w:ascii="Times New Roman" w:hAnsi="Times New Roman" w:cs="Times New Roman"/>
          <w:sz w:val="24"/>
          <w:szCs w:val="24"/>
        </w:rPr>
      </w:pPr>
      <w:r w:rsidRPr="00F41429">
        <w:rPr>
          <w:rFonts w:ascii="Times New Roman" w:hAnsi="Times New Roman" w:cs="Times New Roman"/>
          <w:sz w:val="24"/>
          <w:szCs w:val="24"/>
        </w:rPr>
        <w:t>Raising awareness about social exclusion in schools through experiential learning</w:t>
      </w:r>
    </w:p>
    <w:p w14:paraId="75E094CD" w14:textId="3CB89CF3" w:rsidR="002547CE" w:rsidRPr="00667940" w:rsidRDefault="0096142E" w:rsidP="0001537C">
      <w:pPr>
        <w:pStyle w:val="Heading1"/>
        <w:numPr>
          <w:ilvl w:val="0"/>
          <w:numId w:val="5"/>
        </w:numPr>
      </w:pPr>
      <w:r w:rsidRPr="00667940">
        <w:t xml:space="preserve">Friend </w:t>
      </w:r>
      <w:r w:rsidR="00272960">
        <w:t>&amp;</w:t>
      </w:r>
      <w:r w:rsidRPr="00667940">
        <w:t xml:space="preserve"> Foe</w:t>
      </w:r>
    </w:p>
    <w:p w14:paraId="43B964EC" w14:textId="37BE8AF0"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The current social exclusion program was part of a larger project named </w:t>
      </w:r>
      <w:r w:rsidRPr="00667940">
        <w:rPr>
          <w:rFonts w:ascii="Times New Roman" w:eastAsia="Times New Roman" w:hAnsi="Times New Roman" w:cs="Times New Roman"/>
          <w:i/>
          <w:sz w:val="24"/>
          <w:szCs w:val="24"/>
        </w:rPr>
        <w:t xml:space="preserve">Friend </w:t>
      </w:r>
      <w:r w:rsidR="00667940">
        <w:rPr>
          <w:rFonts w:ascii="Times New Roman" w:eastAsia="Times New Roman" w:hAnsi="Times New Roman" w:cs="Times New Roman"/>
          <w:i/>
          <w:sz w:val="24"/>
          <w:szCs w:val="24"/>
        </w:rPr>
        <w:t>&amp;</w:t>
      </w:r>
      <w:r w:rsidRPr="00667940">
        <w:rPr>
          <w:rFonts w:ascii="Times New Roman" w:eastAsia="Times New Roman" w:hAnsi="Times New Roman" w:cs="Times New Roman"/>
          <w:i/>
          <w:sz w:val="24"/>
          <w:szCs w:val="24"/>
        </w:rPr>
        <w:t xml:space="preserve"> Foe </w:t>
      </w:r>
      <w:r w:rsidRPr="00667940">
        <w:rPr>
          <w:rFonts w:ascii="Times New Roman" w:eastAsia="Times New Roman" w:hAnsi="Times New Roman" w:cs="Times New Roman"/>
          <w:sz w:val="24"/>
          <w:szCs w:val="24"/>
        </w:rPr>
        <w:t xml:space="preserve">(original name in Dutch: </w:t>
      </w:r>
      <w:proofErr w:type="spellStart"/>
      <w:r w:rsidRPr="00667940">
        <w:rPr>
          <w:rFonts w:ascii="Times New Roman" w:eastAsia="Times New Roman" w:hAnsi="Times New Roman" w:cs="Times New Roman"/>
          <w:i/>
          <w:sz w:val="24"/>
          <w:szCs w:val="24"/>
        </w:rPr>
        <w:t>Vriend</w:t>
      </w:r>
      <w:proofErr w:type="spellEnd"/>
      <w:r w:rsidRPr="00667940">
        <w:rPr>
          <w:rFonts w:ascii="Times New Roman" w:eastAsia="Times New Roman" w:hAnsi="Times New Roman" w:cs="Times New Roman"/>
          <w:i/>
          <w:sz w:val="24"/>
          <w:szCs w:val="24"/>
        </w:rPr>
        <w:t xml:space="preserve"> </w:t>
      </w:r>
      <w:proofErr w:type="spellStart"/>
      <w:r w:rsidRPr="00667940">
        <w:rPr>
          <w:rFonts w:ascii="Times New Roman" w:eastAsia="Times New Roman" w:hAnsi="Times New Roman" w:cs="Times New Roman"/>
          <w:i/>
          <w:sz w:val="24"/>
          <w:szCs w:val="24"/>
        </w:rPr>
        <w:t>en</w:t>
      </w:r>
      <w:proofErr w:type="spellEnd"/>
      <w:r w:rsidRPr="00667940">
        <w:rPr>
          <w:rFonts w:ascii="Times New Roman" w:eastAsia="Times New Roman" w:hAnsi="Times New Roman" w:cs="Times New Roman"/>
          <w:i/>
          <w:sz w:val="24"/>
          <w:szCs w:val="24"/>
        </w:rPr>
        <w:t xml:space="preserve"> </w:t>
      </w:r>
      <w:proofErr w:type="spellStart"/>
      <w:r w:rsidRPr="00667940">
        <w:rPr>
          <w:rFonts w:ascii="Times New Roman" w:eastAsia="Times New Roman" w:hAnsi="Times New Roman" w:cs="Times New Roman"/>
          <w:i/>
          <w:sz w:val="24"/>
          <w:szCs w:val="24"/>
        </w:rPr>
        <w:t>Vijan</w:t>
      </w:r>
      <w:r w:rsidRPr="00B55306">
        <w:rPr>
          <w:rFonts w:ascii="Times New Roman" w:eastAsia="Times New Roman" w:hAnsi="Times New Roman" w:cs="Times New Roman"/>
          <w:i/>
          <w:sz w:val="24"/>
          <w:szCs w:val="24"/>
        </w:rPr>
        <w:t>d</w:t>
      </w:r>
      <w:proofErr w:type="spellEnd"/>
      <w:r w:rsidRPr="00873FFF">
        <w:rPr>
          <w:rStyle w:val="FootnoteReference"/>
        </w:rPr>
        <w:footnoteReference w:id="1"/>
      </w:r>
      <w:r w:rsidRPr="00B55306">
        <w:rPr>
          <w:rFonts w:ascii="Times New Roman" w:eastAsia="Times New Roman" w:hAnsi="Times New Roman" w:cs="Times New Roman"/>
          <w:sz w:val="24"/>
          <w:szCs w:val="24"/>
        </w:rPr>
        <w:t>)</w:t>
      </w:r>
      <w:r w:rsidRPr="00667940">
        <w:rPr>
          <w:rFonts w:ascii="Times New Roman" w:eastAsia="Times New Roman" w:hAnsi="Times New Roman" w:cs="Times New Roman"/>
          <w:sz w:val="24"/>
          <w:szCs w:val="24"/>
        </w:rPr>
        <w:t xml:space="preserve"> developed by</w:t>
      </w:r>
      <w:r w:rsidRPr="00667940">
        <w:rPr>
          <w:rFonts w:ascii="Times New Roman" w:eastAsia="Times New Roman" w:hAnsi="Times New Roman" w:cs="Times New Roman"/>
          <w:i/>
          <w:sz w:val="24"/>
          <w:szCs w:val="24"/>
        </w:rPr>
        <w:t xml:space="preserve"> Critical Mass</w:t>
      </w:r>
      <w:r w:rsidRPr="00667940">
        <w:rPr>
          <w:rFonts w:ascii="Times New Roman" w:eastAsia="Times New Roman" w:hAnsi="Times New Roman" w:cs="Times New Roman"/>
          <w:sz w:val="24"/>
          <w:szCs w:val="24"/>
        </w:rPr>
        <w:t xml:space="preserve">. This non-profit uses exhibitions and multimedia games to raise awareness and provide insights on social exclusion, prejudice, bullying, social influence, and conflict escalation. For the social exclusion part of this program the second author provided input based on previous work on social exclusion in social psychology (e.g., on how to induce feelings of social exclusion or how to measure the effects of social exclusion and so on). The final decisions in terms of the questions and the procedure were made by the non-profit organization and the overall framework of the program was designed by the organization as well. </w:t>
      </w:r>
    </w:p>
    <w:p w14:paraId="3A6193AB" w14:textId="0707BC38" w:rsidR="002547CE" w:rsidRPr="00667940" w:rsidRDefault="0096142E" w:rsidP="0001537C">
      <w:pPr>
        <w:pStyle w:val="Heading1"/>
        <w:numPr>
          <w:ilvl w:val="0"/>
          <w:numId w:val="5"/>
        </w:numPr>
      </w:pPr>
      <w:bookmarkStart w:id="0" w:name="_uefvwjdtwf5u" w:colFirst="0" w:colLast="0"/>
      <w:bookmarkEnd w:id="0"/>
      <w:r w:rsidRPr="00667940">
        <w:t xml:space="preserve">How </w:t>
      </w:r>
      <w:r w:rsidR="006C5602">
        <w:t>D</w:t>
      </w:r>
      <w:r w:rsidR="006C5602" w:rsidRPr="00667940">
        <w:t xml:space="preserve">id </w:t>
      </w:r>
      <w:r w:rsidR="006C5602">
        <w:t>W</w:t>
      </w:r>
      <w:r w:rsidR="006C5602" w:rsidRPr="00667940">
        <w:t xml:space="preserve">e </w:t>
      </w:r>
      <w:r w:rsidR="006C5602">
        <w:t>C</w:t>
      </w:r>
      <w:r w:rsidR="006C5602" w:rsidRPr="00667940">
        <w:t xml:space="preserve">lean the Data? </w:t>
      </w:r>
    </w:p>
    <w:p w14:paraId="4C6ACA1B" w14:textId="700C3A47"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First, we removed participants from sessions with less than three and more than six participants because the game can only be played with three to six players (removed </w:t>
      </w:r>
      <w:r w:rsidRPr="00667940">
        <w:rPr>
          <w:rFonts w:ascii="Times New Roman" w:eastAsia="Times New Roman" w:hAnsi="Times New Roman" w:cs="Times New Roman"/>
          <w:i/>
          <w:sz w:val="24"/>
          <w:szCs w:val="24"/>
        </w:rPr>
        <w:t xml:space="preserve">n </w:t>
      </w:r>
      <w:r w:rsidRPr="00667940">
        <w:rPr>
          <w:rFonts w:ascii="Times New Roman" w:eastAsia="Times New Roman" w:hAnsi="Times New Roman" w:cs="Times New Roman"/>
          <w:sz w:val="24"/>
          <w:szCs w:val="24"/>
        </w:rPr>
        <w:t>= 1</w:t>
      </w:r>
      <w:r w:rsidR="00C97F57">
        <w:rPr>
          <w:rFonts w:ascii="Times New Roman" w:eastAsia="Times New Roman" w:hAnsi="Times New Roman" w:cs="Times New Roman"/>
          <w:sz w:val="24"/>
          <w:szCs w:val="24"/>
        </w:rPr>
        <w:t>,</w:t>
      </w:r>
      <w:r w:rsidRPr="00667940">
        <w:rPr>
          <w:rFonts w:ascii="Times New Roman" w:eastAsia="Times New Roman" w:hAnsi="Times New Roman" w:cs="Times New Roman"/>
          <w:sz w:val="24"/>
          <w:szCs w:val="24"/>
        </w:rPr>
        <w:t xml:space="preserve">054, remaining 17,801). Second, upon communication with the non-profit organization, we learned that the data also included the test runs and the data from teachers who sometimes also played the game. To remove people who were not participants of the program (e.g., teachers) and the test runs we applied a conservative age restriction and limited the final data set to participants between and including the ages of 12 and 19. Twelve is the start age of secondary school in the Netherlands, and 19 is an age when most people would have finished secondary school. This left us with only the participants who indicated being between the ages of 12 and 19 (removed </w:t>
      </w:r>
      <w:r w:rsidRPr="00667940">
        <w:rPr>
          <w:rFonts w:ascii="Times New Roman" w:eastAsia="Times New Roman" w:hAnsi="Times New Roman" w:cs="Times New Roman"/>
          <w:i/>
          <w:sz w:val="24"/>
          <w:szCs w:val="24"/>
        </w:rPr>
        <w:t xml:space="preserve">n </w:t>
      </w:r>
      <w:r w:rsidRPr="00667940">
        <w:rPr>
          <w:rFonts w:ascii="Times New Roman" w:eastAsia="Times New Roman" w:hAnsi="Times New Roman" w:cs="Times New Roman"/>
          <w:sz w:val="24"/>
          <w:szCs w:val="24"/>
        </w:rPr>
        <w:t xml:space="preserve">= 2,438). Third, we removed the participants who responded with insufficient effort. We relied on </w:t>
      </w:r>
      <w:r w:rsidRPr="00667940">
        <w:rPr>
          <w:rFonts w:ascii="Times New Roman" w:eastAsia="Times New Roman" w:hAnsi="Times New Roman" w:cs="Times New Roman"/>
          <w:sz w:val="24"/>
          <w:szCs w:val="24"/>
        </w:rPr>
        <w:lastRenderedPageBreak/>
        <w:t xml:space="preserve">a very high or a very low-intra-individual response variability score </w:t>
      </w:r>
      <w:r w:rsidR="008C6D5E">
        <w:rPr>
          <w:rFonts w:ascii="Times New Roman" w:hAnsi="Times New Roman" w:cs="Times New Roman"/>
          <w:sz w:val="24"/>
          <w:szCs w:val="24"/>
        </w:rPr>
        <w:t>(IRV: Dunn et al., 2018)</w:t>
      </w:r>
      <w:r w:rsidRPr="00667940">
        <w:rPr>
          <w:rFonts w:ascii="Times New Roman" w:eastAsia="Times New Roman" w:hAnsi="Times New Roman" w:cs="Times New Roman"/>
          <w:sz w:val="24"/>
          <w:szCs w:val="24"/>
        </w:rPr>
        <w:t xml:space="preserve"> as an indication of responding with insufficient effort. Very low IRV scores indicate responding to all or most items with the same value. Very high IRV scores, on the other hand, indicate extreme variability in responses (e.g., giving the lowest possible score to two items and highest possible score to the other two items). We calculated the IRV on the main dependent variable (i.e., need threat measure with four items, see more information in the materials section) because this measure has both negatively and positively worded items and is our main outcome variable in the game dataset. Having a very low IRV score based on this measure would indicate giving the same score to items that are reverse-worded, i.e., no response variability. Whereas, having a very high IRV score would mean indicating the lowest rating (1) on two of the items and the highest rating (7) on the other two, i.e., extreme response variability. To approach the data cleaning conservatively, we removed participants who had both very high and very low IRV scores (</w:t>
      </w:r>
      <w:r w:rsidRPr="00667940">
        <w:rPr>
          <w:rFonts w:ascii="Times New Roman" w:eastAsia="Times New Roman" w:hAnsi="Times New Roman" w:cs="Times New Roman"/>
          <w:i/>
          <w:sz w:val="24"/>
          <w:szCs w:val="24"/>
        </w:rPr>
        <w:t>n</w:t>
      </w:r>
      <w:r w:rsidRPr="00667940">
        <w:rPr>
          <w:rFonts w:ascii="Times New Roman" w:eastAsia="Times New Roman" w:hAnsi="Times New Roman" w:cs="Times New Roman"/>
          <w:sz w:val="24"/>
          <w:szCs w:val="24"/>
        </w:rPr>
        <w:t xml:space="preserve"> = 1</w:t>
      </w:r>
      <w:r w:rsidR="00C97F57">
        <w:rPr>
          <w:rFonts w:ascii="Times New Roman" w:eastAsia="Times New Roman" w:hAnsi="Times New Roman" w:cs="Times New Roman"/>
          <w:sz w:val="24"/>
          <w:szCs w:val="24"/>
        </w:rPr>
        <w:t>,</w:t>
      </w:r>
      <w:r w:rsidRPr="00667940">
        <w:rPr>
          <w:rFonts w:ascii="Times New Roman" w:eastAsia="Times New Roman" w:hAnsi="Times New Roman" w:cs="Times New Roman"/>
          <w:sz w:val="24"/>
          <w:szCs w:val="24"/>
        </w:rPr>
        <w:t xml:space="preserve">298). We calculated the IRVs with the “careless” package in R </w:t>
      </w:r>
      <w:r w:rsidR="008C6D5E">
        <w:rPr>
          <w:rFonts w:ascii="Times New Roman" w:hAnsi="Times New Roman" w:cs="Times New Roman"/>
          <w:sz w:val="24"/>
          <w:szCs w:val="24"/>
        </w:rPr>
        <w:t>(</w:t>
      </w:r>
      <w:proofErr w:type="spellStart"/>
      <w:r w:rsidR="008C6D5E">
        <w:rPr>
          <w:rFonts w:ascii="Times New Roman" w:hAnsi="Times New Roman" w:cs="Times New Roman"/>
          <w:sz w:val="24"/>
          <w:szCs w:val="24"/>
        </w:rPr>
        <w:t>Yentes</w:t>
      </w:r>
      <w:proofErr w:type="spellEnd"/>
      <w:r w:rsidR="008C6D5E">
        <w:rPr>
          <w:rFonts w:ascii="Times New Roman" w:hAnsi="Times New Roman" w:cs="Times New Roman"/>
          <w:sz w:val="24"/>
          <w:szCs w:val="24"/>
        </w:rPr>
        <w:t xml:space="preserve"> &amp; Wilhelm, 2021)</w:t>
      </w:r>
      <w:r w:rsidRPr="00667940">
        <w:rPr>
          <w:rFonts w:ascii="Times New Roman" w:eastAsia="Times New Roman" w:hAnsi="Times New Roman" w:cs="Times New Roman"/>
          <w:sz w:val="24"/>
          <w:szCs w:val="24"/>
        </w:rPr>
        <w:t xml:space="preserve">. </w:t>
      </w:r>
    </w:p>
    <w:p w14:paraId="37D8567C" w14:textId="7F90DD47" w:rsidR="002547CE" w:rsidRPr="00667940" w:rsidRDefault="0096142E" w:rsidP="0001537C">
      <w:pPr>
        <w:pStyle w:val="Heading1"/>
        <w:numPr>
          <w:ilvl w:val="0"/>
          <w:numId w:val="5"/>
        </w:numPr>
      </w:pPr>
      <w:bookmarkStart w:id="1" w:name="_xrqlvw3dhuxx" w:colFirst="0" w:colLast="0"/>
      <w:bookmarkEnd w:id="1"/>
      <w:r w:rsidRPr="00667940">
        <w:t>Social Exclusion vs Social Inclusion</w:t>
      </w:r>
    </w:p>
    <w:p w14:paraId="017AA360" w14:textId="53F9B0E8"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In the program</w:t>
      </w:r>
      <w:r w:rsidR="00014791">
        <w:rPr>
          <w:rFonts w:ascii="Times New Roman" w:eastAsia="Times New Roman" w:hAnsi="Times New Roman" w:cs="Times New Roman"/>
          <w:sz w:val="24"/>
          <w:szCs w:val="24"/>
        </w:rPr>
        <w:t>,</w:t>
      </w:r>
      <w:r w:rsidRPr="00667940">
        <w:rPr>
          <w:rFonts w:ascii="Times New Roman" w:eastAsia="Times New Roman" w:hAnsi="Times New Roman" w:cs="Times New Roman"/>
          <w:sz w:val="24"/>
          <w:szCs w:val="24"/>
        </w:rPr>
        <w:t xml:space="preserve"> we focused only on the experience of being socially excluded. We did not focus on being socially included. This makes sense from the perspective of a training program carried out by a non-profit organization. Most studies relying on Cyberball to manipulate social exclusion compare the effects of an exclusion condition to an inclusion condition in which participants get an equal number of ball tosses. Such a comparison was out of scope for the current project. Yet, we reasoned that the descriptive statistics of need threat values could benefit from some comparison to values that would be obtained if there was an inclusion condition. To achieve that and to provide more context to otherwise difficult to interpret absolute values, we compared observed descriptive statistics on need threat to previous work also </w:t>
      </w:r>
      <w:r w:rsidRPr="00667940">
        <w:rPr>
          <w:rFonts w:ascii="Times New Roman" w:eastAsia="Times New Roman" w:hAnsi="Times New Roman" w:cs="Times New Roman"/>
          <w:sz w:val="24"/>
          <w:szCs w:val="24"/>
        </w:rPr>
        <w:lastRenderedPageBreak/>
        <w:t xml:space="preserve">conducted in the Netherlands. We identified two such examples </w:t>
      </w:r>
      <w:r w:rsidR="008C6D5E">
        <w:rPr>
          <w:rFonts w:ascii="Times New Roman" w:hAnsi="Times New Roman" w:cs="Times New Roman"/>
          <w:sz w:val="24"/>
          <w:szCs w:val="24"/>
        </w:rPr>
        <w:t>(de Waal-Andrews &amp; van Beest, 2012; Sleegers et al., 2016)</w:t>
      </w:r>
      <w:r w:rsidRPr="00667940">
        <w:rPr>
          <w:rFonts w:ascii="Times New Roman" w:eastAsia="Times New Roman" w:hAnsi="Times New Roman" w:cs="Times New Roman"/>
          <w:sz w:val="24"/>
          <w:szCs w:val="24"/>
        </w:rPr>
        <w:t xml:space="preserve"> that use </w:t>
      </w:r>
      <w:proofErr w:type="gramStart"/>
      <w:r w:rsidRPr="00667940">
        <w:rPr>
          <w:rFonts w:ascii="Times New Roman" w:eastAsia="Times New Roman" w:hAnsi="Times New Roman" w:cs="Times New Roman"/>
          <w:sz w:val="24"/>
          <w:szCs w:val="24"/>
        </w:rPr>
        <w:t>Cyberball</w:t>
      </w:r>
      <w:proofErr w:type="gramEnd"/>
      <w:r w:rsidRPr="00667940">
        <w:rPr>
          <w:rFonts w:ascii="Times New Roman" w:eastAsia="Times New Roman" w:hAnsi="Times New Roman" w:cs="Times New Roman"/>
          <w:sz w:val="24"/>
          <w:szCs w:val="24"/>
        </w:rPr>
        <w:t xml:space="preserve"> and measure need threat with the 20-item Need Threat Questionnaire </w:t>
      </w:r>
      <w:r w:rsidR="008C6D5E">
        <w:rPr>
          <w:rFonts w:ascii="Times New Roman" w:hAnsi="Times New Roman" w:cs="Times New Roman"/>
          <w:sz w:val="24"/>
          <w:szCs w:val="24"/>
        </w:rPr>
        <w:t>(van Beest &amp; Williams, 2006)</w:t>
      </w:r>
      <w:r w:rsidRPr="00667940">
        <w:rPr>
          <w:rFonts w:ascii="Times New Roman" w:eastAsia="Times New Roman" w:hAnsi="Times New Roman" w:cs="Times New Roman"/>
          <w:sz w:val="24"/>
          <w:szCs w:val="24"/>
        </w:rPr>
        <w:t xml:space="preserve"> that our questions were based on. In both studies, like the results presented here, the overall need threat scores were higher than the midpoint of the scale. We could not compare anger scores with these two studies because they do not report the results pertaining to anger separately as we do in this project. Yet work we used when making our analysis plan pertaining to anger shows similar values for levels of anger as we observe here </w:t>
      </w:r>
      <w:r w:rsidR="008C6D5E">
        <w:rPr>
          <w:rFonts w:ascii="Times New Roman" w:hAnsi="Times New Roman" w:cs="Times New Roman"/>
          <w:sz w:val="24"/>
          <w:szCs w:val="24"/>
        </w:rPr>
        <w:t>(</w:t>
      </w:r>
      <w:proofErr w:type="spellStart"/>
      <w:r w:rsidR="008C6D5E">
        <w:rPr>
          <w:rFonts w:ascii="Times New Roman" w:hAnsi="Times New Roman" w:cs="Times New Roman"/>
          <w:sz w:val="24"/>
          <w:szCs w:val="24"/>
        </w:rPr>
        <w:t>Rajchert</w:t>
      </w:r>
      <w:proofErr w:type="spellEnd"/>
      <w:r w:rsidR="008C6D5E">
        <w:rPr>
          <w:rFonts w:ascii="Times New Roman" w:hAnsi="Times New Roman" w:cs="Times New Roman"/>
          <w:sz w:val="24"/>
          <w:szCs w:val="24"/>
        </w:rPr>
        <w:t xml:space="preserve"> et al., 2017; Svetieva et al., 2016; Zadro et al., 2004)</w:t>
      </w:r>
      <w:r w:rsidRPr="00667940">
        <w:rPr>
          <w:rFonts w:ascii="Times New Roman" w:eastAsia="Times New Roman" w:hAnsi="Times New Roman" w:cs="Times New Roman"/>
          <w:sz w:val="24"/>
          <w:szCs w:val="24"/>
        </w:rPr>
        <w:t>. Although we cannot compare the experience of being excluded to that of being included, we reasoned that discussing the descriptive statistics from other studies may help contextualize the absolute values we have and highlight that these scores are mostly in line with what one would observe</w:t>
      </w:r>
      <w:r w:rsidR="00C97F57">
        <w:rPr>
          <w:rFonts w:ascii="Times New Roman" w:eastAsia="Times New Roman" w:hAnsi="Times New Roman" w:cs="Times New Roman"/>
          <w:sz w:val="24"/>
          <w:szCs w:val="24"/>
        </w:rPr>
        <w:t xml:space="preserve"> in</w:t>
      </w:r>
      <w:r w:rsidRPr="00667940">
        <w:rPr>
          <w:rFonts w:ascii="Times New Roman" w:eastAsia="Times New Roman" w:hAnsi="Times New Roman" w:cs="Times New Roman"/>
          <w:sz w:val="24"/>
          <w:szCs w:val="24"/>
        </w:rPr>
        <w:t xml:space="preserve"> studies with similar designs (and studies in a similar context, i.e., the Netherlands, in the case of need threat). </w:t>
      </w:r>
    </w:p>
    <w:p w14:paraId="58DA428F" w14:textId="2628F6F1" w:rsidR="002547CE" w:rsidRPr="00667940" w:rsidRDefault="0096142E" w:rsidP="0001537C">
      <w:pPr>
        <w:pStyle w:val="Heading1"/>
        <w:numPr>
          <w:ilvl w:val="0"/>
          <w:numId w:val="5"/>
        </w:numPr>
      </w:pPr>
      <w:bookmarkStart w:id="2" w:name="_f8zbv7stlu0d" w:colFirst="0" w:colLast="0"/>
      <w:bookmarkEnd w:id="2"/>
      <w:r w:rsidRPr="00667940">
        <w:t>The Evaluation Questionnaire</w:t>
      </w:r>
    </w:p>
    <w:p w14:paraId="483859FE" w14:textId="409EDAEE"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A subgroup of the participants evaluated the training project that was carried out by </w:t>
      </w:r>
      <w:r w:rsidRPr="00667940">
        <w:rPr>
          <w:rFonts w:ascii="Times New Roman" w:eastAsia="Times New Roman" w:hAnsi="Times New Roman" w:cs="Times New Roman"/>
          <w:i/>
          <w:sz w:val="24"/>
          <w:szCs w:val="24"/>
        </w:rPr>
        <w:t>Critical Mass</w:t>
      </w:r>
      <w:r w:rsidRPr="00667940">
        <w:rPr>
          <w:rFonts w:ascii="Times New Roman" w:eastAsia="Times New Roman" w:hAnsi="Times New Roman" w:cs="Times New Roman"/>
          <w:sz w:val="24"/>
          <w:szCs w:val="24"/>
        </w:rPr>
        <w:t>. This evaluation questionnaire asked participants to evaluate the specific training programs (e.g., social exclusion training or prejudice training) and the overall project in its entirety (e.g., whether the discussion sections were useful in general, or whether they have used their knowledge and so on). In the current manuscript</w:t>
      </w:r>
      <w:r w:rsidR="00920DE8">
        <w:rPr>
          <w:rFonts w:ascii="Times New Roman" w:eastAsia="Times New Roman" w:hAnsi="Times New Roman" w:cs="Times New Roman"/>
          <w:sz w:val="24"/>
          <w:szCs w:val="24"/>
        </w:rPr>
        <w:t>,</w:t>
      </w:r>
      <w:r w:rsidRPr="00667940">
        <w:rPr>
          <w:rFonts w:ascii="Times New Roman" w:eastAsia="Times New Roman" w:hAnsi="Times New Roman" w:cs="Times New Roman"/>
          <w:sz w:val="24"/>
          <w:szCs w:val="24"/>
        </w:rPr>
        <w:t xml:space="preserve"> we reported 12 items that are relevant to the social exclusion training program. Three of these 12 items are specifically about the social exclusion training program (e.g., three questions about gaining insights about social exclusion). The remaining </w:t>
      </w:r>
      <w:r w:rsidR="00667940">
        <w:rPr>
          <w:rFonts w:ascii="Times New Roman" w:eastAsia="Times New Roman" w:hAnsi="Times New Roman" w:cs="Times New Roman"/>
          <w:sz w:val="24"/>
          <w:szCs w:val="24"/>
        </w:rPr>
        <w:t>nine items</w:t>
      </w:r>
      <w:r w:rsidRPr="00667940">
        <w:rPr>
          <w:rFonts w:ascii="Times New Roman" w:eastAsia="Times New Roman" w:hAnsi="Times New Roman" w:cs="Times New Roman"/>
          <w:sz w:val="24"/>
          <w:szCs w:val="24"/>
        </w:rPr>
        <w:t xml:space="preserve"> are about the training project in general. That is, participants were asked to evaluate the project in its entirety without referring to any specific training program. This means that these nine items not only tap into the social exclusion training but also training </w:t>
      </w:r>
      <w:r w:rsidRPr="00667940">
        <w:rPr>
          <w:rFonts w:ascii="Times New Roman" w:eastAsia="Times New Roman" w:hAnsi="Times New Roman" w:cs="Times New Roman"/>
          <w:sz w:val="24"/>
          <w:szCs w:val="24"/>
        </w:rPr>
        <w:lastRenderedPageBreak/>
        <w:t xml:space="preserve">programs on other phenomena (e.g., </w:t>
      </w:r>
      <w:r w:rsidR="00667940">
        <w:rPr>
          <w:rFonts w:ascii="Times New Roman" w:eastAsia="Times New Roman" w:hAnsi="Times New Roman" w:cs="Times New Roman"/>
          <w:sz w:val="24"/>
          <w:szCs w:val="24"/>
        </w:rPr>
        <w:t>bullying</w:t>
      </w:r>
      <w:r w:rsidRPr="00667940">
        <w:rPr>
          <w:rFonts w:ascii="Times New Roman" w:eastAsia="Times New Roman" w:hAnsi="Times New Roman" w:cs="Times New Roman"/>
          <w:sz w:val="24"/>
          <w:szCs w:val="24"/>
        </w:rPr>
        <w:t xml:space="preserve">). We decided to discuss these more general questions here for two reasons. First, the fact that these items are general means that they tap into also the experience in the social exclusion training program. Any questions in the evaluation questionnaire that were solely about another training were left out from this manuscript. Second, albeit general in the current use case, these questions can be used specifically for social exclusion training programs in the future. </w:t>
      </w:r>
    </w:p>
    <w:p w14:paraId="34E135BF" w14:textId="05D6432C" w:rsidR="002547CE" w:rsidRPr="00667940" w:rsidRDefault="0096142E" w:rsidP="0001537C">
      <w:pPr>
        <w:pStyle w:val="Heading1"/>
        <w:numPr>
          <w:ilvl w:val="0"/>
          <w:numId w:val="5"/>
        </w:numPr>
      </w:pPr>
      <w:r w:rsidRPr="00667940">
        <w:t>Cross-cutting Factors</w:t>
      </w:r>
    </w:p>
    <w:p w14:paraId="3ED7BD60" w14:textId="48CBEF02"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A side goal in the current contribution was to test a core assumption of a major model of social exclusion. According to the Temporal Need Threat (TNT) model of ostracism, the initial hurt of social exclusion is robust to cross-cutting variables </w:t>
      </w:r>
      <w:r w:rsidR="008C6D5E">
        <w:rPr>
          <w:rFonts w:ascii="Times New Roman" w:hAnsi="Times New Roman" w:cs="Times New Roman"/>
          <w:sz w:val="24"/>
          <w:szCs w:val="24"/>
        </w:rPr>
        <w:t>(Williams, 2009)</w:t>
      </w:r>
      <w:r w:rsidRPr="00667940">
        <w:rPr>
          <w:rFonts w:ascii="Times New Roman" w:eastAsia="Times New Roman" w:hAnsi="Times New Roman" w:cs="Times New Roman"/>
          <w:sz w:val="24"/>
          <w:szCs w:val="24"/>
        </w:rPr>
        <w:t xml:space="preserve">. This is an ongoing field of inquiry and while some studies support this claim in terms of need threat </w:t>
      </w:r>
      <w:r w:rsidR="008C6D5E">
        <w:rPr>
          <w:rFonts w:ascii="Times New Roman" w:hAnsi="Times New Roman" w:cs="Times New Roman"/>
          <w:sz w:val="24"/>
          <w:szCs w:val="24"/>
        </w:rPr>
        <w:t>(e.g., Gonsalkorale &amp; Williams, 2007; van Beest et al., 2011; Zadro et al., 2004)</w:t>
      </w:r>
      <w:r w:rsidRPr="006C5602">
        <w:rPr>
          <w:rFonts w:ascii="Times New Roman" w:eastAsia="Times New Roman" w:hAnsi="Times New Roman" w:cs="Times New Roman"/>
          <w:sz w:val="24"/>
          <w:szCs w:val="24"/>
        </w:rPr>
        <w:t xml:space="preserve">, some others suggest that the immediate hurt of social exclusion may indeed be prone to moderation </w:t>
      </w:r>
      <w:r w:rsidR="008C6D5E" w:rsidRPr="00873FFF">
        <w:rPr>
          <w:rFonts w:ascii="Times New Roman" w:hAnsi="Times New Roman" w:cs="Times New Roman"/>
          <w:sz w:val="24"/>
          <w:szCs w:val="24"/>
          <w:lang w:val="en-US"/>
        </w:rPr>
        <w:t>(e.g., Bernstein et al., 2010; Eck et al., 2017; Goodwin et al., 2010; van Beest et al., 2011)</w:t>
      </w:r>
      <w:r w:rsidRPr="00873FFF">
        <w:rPr>
          <w:rFonts w:ascii="Times New Roman" w:eastAsia="Times New Roman" w:hAnsi="Times New Roman" w:cs="Times New Roman"/>
          <w:sz w:val="24"/>
          <w:szCs w:val="24"/>
          <w:lang w:val="en-US"/>
        </w:rPr>
        <w:t xml:space="preserve">. </w:t>
      </w:r>
      <w:r w:rsidRPr="006C5602">
        <w:rPr>
          <w:rFonts w:ascii="Times New Roman" w:eastAsia="Times New Roman" w:hAnsi="Times New Roman" w:cs="Times New Roman"/>
          <w:sz w:val="24"/>
          <w:szCs w:val="24"/>
        </w:rPr>
        <w:t xml:space="preserve">Previous investigations of cross-cutting factors incorporate factors such as gender </w:t>
      </w:r>
      <w:r w:rsidR="008C6D5E">
        <w:rPr>
          <w:rFonts w:ascii="Times New Roman" w:hAnsi="Times New Roman" w:cs="Times New Roman"/>
          <w:sz w:val="24"/>
          <w:szCs w:val="24"/>
        </w:rPr>
        <w:t>(Hawes et al., 2012)</w:t>
      </w:r>
      <w:r w:rsidRPr="006C5602">
        <w:rPr>
          <w:rFonts w:ascii="Times New Roman" w:eastAsia="Times New Roman" w:hAnsi="Times New Roman" w:cs="Times New Roman"/>
          <w:sz w:val="24"/>
          <w:szCs w:val="24"/>
        </w:rPr>
        <w:t xml:space="preserve">, age </w:t>
      </w:r>
      <w:r w:rsidR="008C6D5E">
        <w:rPr>
          <w:rFonts w:ascii="Times New Roman" w:hAnsi="Times New Roman" w:cs="Times New Roman"/>
          <w:sz w:val="24"/>
          <w:szCs w:val="24"/>
        </w:rPr>
        <w:t>(Abrams et al., 2011; Pharo et al., 2011)</w:t>
      </w:r>
      <w:r w:rsidRPr="00667940">
        <w:rPr>
          <w:rFonts w:ascii="Times New Roman" w:eastAsia="Times New Roman" w:hAnsi="Times New Roman" w:cs="Times New Roman"/>
          <w:sz w:val="24"/>
          <w:szCs w:val="24"/>
        </w:rPr>
        <w:t xml:space="preserve">, size of the group in which the exclusion takes place </w:t>
      </w:r>
      <w:r w:rsidR="008C6D5E">
        <w:rPr>
          <w:rFonts w:ascii="Times New Roman" w:hAnsi="Times New Roman" w:cs="Times New Roman"/>
          <w:sz w:val="24"/>
          <w:szCs w:val="24"/>
        </w:rPr>
        <w:t>(</w:t>
      </w:r>
      <w:proofErr w:type="spellStart"/>
      <w:r w:rsidR="008C6D5E">
        <w:rPr>
          <w:rFonts w:ascii="Times New Roman" w:hAnsi="Times New Roman" w:cs="Times New Roman"/>
          <w:sz w:val="24"/>
          <w:szCs w:val="24"/>
        </w:rPr>
        <w:t>Hartgerink</w:t>
      </w:r>
      <w:proofErr w:type="spellEnd"/>
      <w:r w:rsidR="008C6D5E">
        <w:rPr>
          <w:rFonts w:ascii="Times New Roman" w:hAnsi="Times New Roman" w:cs="Times New Roman"/>
          <w:sz w:val="24"/>
          <w:szCs w:val="24"/>
        </w:rPr>
        <w:t xml:space="preserve"> et al., 2015; Tobin et al., 2018)</w:t>
      </w:r>
      <w:r w:rsidRPr="00667940">
        <w:rPr>
          <w:rFonts w:ascii="Times New Roman" w:eastAsia="Times New Roman" w:hAnsi="Times New Roman" w:cs="Times New Roman"/>
          <w:sz w:val="24"/>
          <w:szCs w:val="24"/>
        </w:rPr>
        <w:t xml:space="preserve">, or race </w:t>
      </w:r>
      <w:r w:rsidR="008C6D5E">
        <w:rPr>
          <w:rFonts w:ascii="Times New Roman" w:hAnsi="Times New Roman" w:cs="Times New Roman"/>
          <w:sz w:val="24"/>
          <w:szCs w:val="24"/>
        </w:rPr>
        <w:t>(</w:t>
      </w:r>
      <w:proofErr w:type="spellStart"/>
      <w:r w:rsidR="008C6D5E">
        <w:rPr>
          <w:rFonts w:ascii="Times New Roman" w:hAnsi="Times New Roman" w:cs="Times New Roman"/>
          <w:sz w:val="24"/>
          <w:szCs w:val="24"/>
        </w:rPr>
        <w:t>Gonsalkorale</w:t>
      </w:r>
      <w:proofErr w:type="spellEnd"/>
      <w:r w:rsidR="008C6D5E">
        <w:rPr>
          <w:rFonts w:ascii="Times New Roman" w:hAnsi="Times New Roman" w:cs="Times New Roman"/>
          <w:sz w:val="24"/>
          <w:szCs w:val="24"/>
        </w:rPr>
        <w:t xml:space="preserve"> &amp; Williams, 2007; Goodwin et al., 2010; Mulvey et al., 2016)</w:t>
      </w:r>
      <w:r w:rsidRPr="00667940">
        <w:rPr>
          <w:rFonts w:ascii="Times New Roman" w:eastAsia="Times New Roman" w:hAnsi="Times New Roman" w:cs="Times New Roman"/>
          <w:sz w:val="24"/>
          <w:szCs w:val="24"/>
        </w:rPr>
        <w:t xml:space="preserve"> to name a few. Therefore, we reported our results also in a way that could speak to this debate about the cross-cutting variables by testing whether age, gender, the selected avatar, or group size influences the extent to which participants experience need threat following exclusion. </w:t>
      </w:r>
    </w:p>
    <w:p w14:paraId="7588CF4F" w14:textId="0C853EB3"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Relevant to note is that the hypothesis that ostracism is not moderated by cross-cutting variables is often tested in a context where people are both included and ostracized. Findings </w:t>
      </w:r>
      <w:r w:rsidRPr="00667940">
        <w:rPr>
          <w:rFonts w:ascii="Times New Roman" w:eastAsia="Times New Roman" w:hAnsi="Times New Roman" w:cs="Times New Roman"/>
          <w:sz w:val="24"/>
          <w:szCs w:val="24"/>
        </w:rPr>
        <w:lastRenderedPageBreak/>
        <w:t>then show that a cross-cutting variable has less impact on the participants in the ostracism condition than in the inclusion condition. In the current context</w:t>
      </w:r>
      <w:r w:rsidR="00920DE8">
        <w:rPr>
          <w:rFonts w:ascii="Times New Roman" w:eastAsia="Times New Roman" w:hAnsi="Times New Roman" w:cs="Times New Roman"/>
          <w:sz w:val="24"/>
          <w:szCs w:val="24"/>
        </w:rPr>
        <w:t>,</w:t>
      </w:r>
      <w:r w:rsidRPr="00667940">
        <w:rPr>
          <w:rFonts w:ascii="Times New Roman" w:eastAsia="Times New Roman" w:hAnsi="Times New Roman" w:cs="Times New Roman"/>
          <w:sz w:val="24"/>
          <w:szCs w:val="24"/>
        </w:rPr>
        <w:t xml:space="preserve"> we could not make that comparison as the experimental learning is focused on how people deal with exclusion, it was not focused on how people deal with inclusion. Hence, our finding may or may not show that a cross-cutting variable moderated the experience of exclusion. However, it will not show whether this lack of moderation is stronger or weaker in the exclusion condition than the inclusion condition. Moreover, because we evaluate this core assumption within the context of an experiential training program involving 14,</w:t>
      </w:r>
      <w:r w:rsidR="00C97F57">
        <w:rPr>
          <w:rFonts w:ascii="Times New Roman" w:eastAsia="Times New Roman" w:hAnsi="Times New Roman" w:cs="Times New Roman"/>
          <w:sz w:val="24"/>
          <w:szCs w:val="24"/>
        </w:rPr>
        <w:t>0</w:t>
      </w:r>
      <w:r w:rsidR="00F361AB">
        <w:rPr>
          <w:rFonts w:ascii="Times New Roman" w:eastAsia="Times New Roman" w:hAnsi="Times New Roman" w:cs="Times New Roman"/>
          <w:sz w:val="24"/>
          <w:szCs w:val="24"/>
        </w:rPr>
        <w:t>65</w:t>
      </w:r>
      <w:r w:rsidR="00F361AB" w:rsidRPr="00667940">
        <w:rPr>
          <w:rFonts w:ascii="Times New Roman" w:eastAsia="Times New Roman" w:hAnsi="Times New Roman" w:cs="Times New Roman"/>
          <w:sz w:val="24"/>
          <w:szCs w:val="24"/>
        </w:rPr>
        <w:t xml:space="preserve"> </w:t>
      </w:r>
      <w:r w:rsidRPr="00667940">
        <w:rPr>
          <w:rFonts w:ascii="Times New Roman" w:eastAsia="Times New Roman" w:hAnsi="Times New Roman" w:cs="Times New Roman"/>
          <w:sz w:val="24"/>
          <w:szCs w:val="24"/>
        </w:rPr>
        <w:t xml:space="preserve">participants, we decided to test this assumption from the perspective of whether an effect has practical relevance and not whether an effect is statistically significant. In short, we decided to follow the advice </w:t>
      </w:r>
      <w:proofErr w:type="gramStart"/>
      <w:r w:rsidRPr="00667940">
        <w:rPr>
          <w:rFonts w:ascii="Times New Roman" w:eastAsia="Times New Roman" w:hAnsi="Times New Roman" w:cs="Times New Roman"/>
          <w:sz w:val="24"/>
          <w:szCs w:val="24"/>
        </w:rPr>
        <w:t>of</w:t>
      </w:r>
      <w:r w:rsidR="00C97F57">
        <w:rPr>
          <w:rFonts w:ascii="Times New Roman" w:eastAsia="Times New Roman" w:hAnsi="Times New Roman" w:cs="Times New Roman"/>
          <w:sz w:val="24"/>
          <w:szCs w:val="24"/>
        </w:rPr>
        <w:t xml:space="preserve">  Ferguson</w:t>
      </w:r>
      <w:proofErr w:type="gramEnd"/>
      <w:r w:rsidRPr="00667940">
        <w:rPr>
          <w:rFonts w:ascii="Times New Roman" w:eastAsia="Times New Roman" w:hAnsi="Times New Roman" w:cs="Times New Roman"/>
          <w:sz w:val="24"/>
          <w:szCs w:val="24"/>
        </w:rPr>
        <w:t xml:space="preserve"> </w:t>
      </w:r>
      <w:r w:rsidR="008C6D5E">
        <w:rPr>
          <w:rFonts w:ascii="Times New Roman" w:hAnsi="Times New Roman" w:cs="Times New Roman"/>
          <w:sz w:val="24"/>
          <w:szCs w:val="24"/>
        </w:rPr>
        <w:t>(2009)</w:t>
      </w:r>
      <w:r w:rsidRPr="00667940">
        <w:rPr>
          <w:rFonts w:ascii="Times New Roman" w:eastAsia="Times New Roman" w:hAnsi="Times New Roman" w:cs="Times New Roman"/>
          <w:sz w:val="24"/>
          <w:szCs w:val="24"/>
        </w:rPr>
        <w:t xml:space="preserve"> and only consider statistically significant findings relevant if the associated effect size would be equal or greater than a Cohen’s </w:t>
      </w:r>
      <w:r w:rsidRPr="00667940">
        <w:rPr>
          <w:rFonts w:ascii="Times New Roman" w:eastAsia="Times New Roman" w:hAnsi="Times New Roman" w:cs="Times New Roman"/>
          <w:i/>
          <w:sz w:val="24"/>
          <w:szCs w:val="24"/>
        </w:rPr>
        <w:t xml:space="preserve">d </w:t>
      </w:r>
      <w:r w:rsidRPr="00667940">
        <w:rPr>
          <w:rFonts w:ascii="Times New Roman" w:eastAsia="Times New Roman" w:hAnsi="Times New Roman" w:cs="Times New Roman"/>
          <w:sz w:val="24"/>
          <w:szCs w:val="24"/>
        </w:rPr>
        <w:t xml:space="preserve">= 0.41 (or </w:t>
      </w:r>
      <w:r w:rsidRPr="00667940">
        <w:rPr>
          <w:rFonts w:ascii="Times New Roman" w:eastAsia="Times New Roman" w:hAnsi="Times New Roman" w:cs="Times New Roman"/>
          <w:i/>
          <w:sz w:val="24"/>
          <w:szCs w:val="24"/>
        </w:rPr>
        <w:t xml:space="preserve">r </w:t>
      </w:r>
      <w:r w:rsidRPr="00667940">
        <w:rPr>
          <w:rFonts w:ascii="Times New Roman" w:eastAsia="Times New Roman" w:hAnsi="Times New Roman" w:cs="Times New Roman"/>
          <w:sz w:val="24"/>
          <w:szCs w:val="24"/>
        </w:rPr>
        <w:t>= .20).</w:t>
      </w:r>
    </w:p>
    <w:p w14:paraId="1C85F5D3" w14:textId="44680A33" w:rsidR="002547CE" w:rsidRPr="0001537C" w:rsidRDefault="0001537C" w:rsidP="00501476">
      <w:pPr>
        <w:pStyle w:val="Heading2"/>
      </w:pPr>
      <w:bookmarkStart w:id="3" w:name="_63mz737de3kr" w:colFirst="0" w:colLast="0"/>
      <w:bookmarkEnd w:id="3"/>
      <w:r w:rsidRPr="0001537C">
        <w:t xml:space="preserve"> </w:t>
      </w:r>
      <w:r w:rsidR="00501476">
        <w:t xml:space="preserve">5.1. </w:t>
      </w:r>
      <w:r w:rsidRPr="0001537C">
        <w:t>Results on Cross-Cutting Factors</w:t>
      </w:r>
    </w:p>
    <w:p w14:paraId="2506E36B" w14:textId="4AFAD13A" w:rsidR="002547CE" w:rsidRPr="00667940" w:rsidRDefault="002649C8" w:rsidP="00501476">
      <w:pPr>
        <w:pStyle w:val="Heading3"/>
      </w:pPr>
      <w:r>
        <w:t xml:space="preserve">5.1.1. </w:t>
      </w:r>
      <w:r w:rsidRPr="00667940">
        <w:t xml:space="preserve">Does gender of the </w:t>
      </w:r>
      <w:r w:rsidRPr="0001537C">
        <w:t>participant</w:t>
      </w:r>
      <w:r w:rsidRPr="00667940">
        <w:t xml:space="preserve"> influence need threat? </w:t>
      </w:r>
    </w:p>
    <w:p w14:paraId="144F58AA" w14:textId="61B6D103"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ab/>
        <w:t>Participant gender affected the reported need threat after the game. Male participants reported lower need threat (</w:t>
      </w:r>
      <w:r w:rsidRPr="00667940">
        <w:rPr>
          <w:rFonts w:ascii="Times New Roman" w:eastAsia="Times New Roman" w:hAnsi="Times New Roman" w:cs="Times New Roman"/>
          <w:i/>
          <w:sz w:val="24"/>
          <w:szCs w:val="24"/>
        </w:rPr>
        <w:t xml:space="preserve">M </w:t>
      </w:r>
      <w:r w:rsidRPr="00667940">
        <w:rPr>
          <w:rFonts w:ascii="Times New Roman" w:eastAsia="Times New Roman" w:hAnsi="Times New Roman" w:cs="Times New Roman"/>
          <w:sz w:val="24"/>
          <w:szCs w:val="24"/>
        </w:rPr>
        <w:t xml:space="preserve">= 4.45 </w:t>
      </w:r>
      <w:r w:rsidRPr="00667940">
        <w:rPr>
          <w:rFonts w:ascii="Times New Roman" w:eastAsia="Times New Roman" w:hAnsi="Times New Roman" w:cs="Times New Roman"/>
          <w:i/>
          <w:sz w:val="24"/>
          <w:szCs w:val="24"/>
        </w:rPr>
        <w:t xml:space="preserve">SD </w:t>
      </w:r>
      <w:r w:rsidRPr="00667940">
        <w:rPr>
          <w:rFonts w:ascii="Times New Roman" w:eastAsia="Times New Roman" w:hAnsi="Times New Roman" w:cs="Times New Roman"/>
          <w:sz w:val="24"/>
          <w:szCs w:val="24"/>
        </w:rPr>
        <w:t>= 1.44) than female participants, (</w:t>
      </w:r>
      <w:r w:rsidRPr="00667940">
        <w:rPr>
          <w:rFonts w:ascii="Times New Roman" w:eastAsia="Times New Roman" w:hAnsi="Times New Roman" w:cs="Times New Roman"/>
          <w:i/>
          <w:sz w:val="24"/>
          <w:szCs w:val="24"/>
        </w:rPr>
        <w:t xml:space="preserve">M </w:t>
      </w:r>
      <w:r w:rsidRPr="00667940">
        <w:rPr>
          <w:rFonts w:ascii="Times New Roman" w:eastAsia="Times New Roman" w:hAnsi="Times New Roman" w:cs="Times New Roman"/>
          <w:sz w:val="24"/>
          <w:szCs w:val="24"/>
        </w:rPr>
        <w:t xml:space="preserve">= 4.71, </w:t>
      </w:r>
      <w:r w:rsidRPr="00667940">
        <w:rPr>
          <w:rFonts w:ascii="Times New Roman" w:eastAsia="Times New Roman" w:hAnsi="Times New Roman" w:cs="Times New Roman"/>
          <w:i/>
          <w:sz w:val="24"/>
          <w:szCs w:val="24"/>
        </w:rPr>
        <w:t xml:space="preserve">SD </w:t>
      </w:r>
      <w:r w:rsidRPr="00667940">
        <w:rPr>
          <w:rFonts w:ascii="Times New Roman" w:eastAsia="Times New Roman" w:hAnsi="Times New Roman" w:cs="Times New Roman"/>
          <w:sz w:val="24"/>
          <w:szCs w:val="24"/>
        </w:rPr>
        <w:t xml:space="preserve">= 1.25), </w:t>
      </w:r>
      <w:proofErr w:type="gramStart"/>
      <w:r w:rsidRPr="00667940">
        <w:rPr>
          <w:rFonts w:ascii="Times New Roman" w:eastAsia="Times New Roman" w:hAnsi="Times New Roman" w:cs="Times New Roman"/>
          <w:i/>
          <w:sz w:val="24"/>
          <w:szCs w:val="24"/>
        </w:rPr>
        <w:t>t</w:t>
      </w:r>
      <w:r w:rsidRPr="00667940">
        <w:rPr>
          <w:rFonts w:ascii="Times New Roman" w:eastAsia="Times New Roman" w:hAnsi="Times New Roman" w:cs="Times New Roman"/>
          <w:sz w:val="24"/>
          <w:szCs w:val="24"/>
        </w:rPr>
        <w:t>(</w:t>
      </w:r>
      <w:proofErr w:type="gramEnd"/>
      <w:r w:rsidRPr="00667940">
        <w:rPr>
          <w:rFonts w:ascii="Times New Roman" w:eastAsia="Times New Roman" w:hAnsi="Times New Roman" w:cs="Times New Roman"/>
          <w:sz w:val="24"/>
          <w:szCs w:val="24"/>
        </w:rPr>
        <w:t xml:space="preserve">13,464), = -11.64, </w:t>
      </w:r>
      <w:r w:rsidRPr="00667940">
        <w:rPr>
          <w:rFonts w:ascii="Times New Roman" w:eastAsia="Times New Roman" w:hAnsi="Times New Roman" w:cs="Times New Roman"/>
          <w:i/>
          <w:sz w:val="24"/>
          <w:szCs w:val="24"/>
        </w:rPr>
        <w:t xml:space="preserve">p </w:t>
      </w:r>
      <w:r w:rsidRPr="00667940">
        <w:rPr>
          <w:rFonts w:ascii="Times New Roman" w:eastAsia="Times New Roman" w:hAnsi="Times New Roman" w:cs="Times New Roman"/>
          <w:sz w:val="24"/>
          <w:szCs w:val="24"/>
        </w:rPr>
        <w:t xml:space="preserve">&lt; .001, </w:t>
      </w:r>
      <w:r w:rsidRPr="00667940">
        <w:rPr>
          <w:rFonts w:ascii="Times New Roman" w:eastAsia="Times New Roman" w:hAnsi="Times New Roman" w:cs="Times New Roman"/>
          <w:i/>
          <w:sz w:val="24"/>
          <w:szCs w:val="24"/>
        </w:rPr>
        <w:t>d</w:t>
      </w:r>
      <w:r w:rsidRPr="00667940">
        <w:rPr>
          <w:rFonts w:ascii="Times New Roman" w:eastAsia="Times New Roman" w:hAnsi="Times New Roman" w:cs="Times New Roman"/>
          <w:sz w:val="24"/>
          <w:szCs w:val="24"/>
        </w:rPr>
        <w:t xml:space="preserve"> = -.20, 95% CI [-.23, -.16]. That is, female participants experienced more need threat (e.g., less belonging and control) than their male peers. Participant gender did not change reported anger, </w:t>
      </w:r>
      <w:proofErr w:type="gramStart"/>
      <w:r w:rsidRPr="00667940">
        <w:rPr>
          <w:rFonts w:ascii="Times New Roman" w:eastAsia="Times New Roman" w:hAnsi="Times New Roman" w:cs="Times New Roman"/>
          <w:i/>
          <w:sz w:val="24"/>
          <w:szCs w:val="24"/>
        </w:rPr>
        <w:t>t</w:t>
      </w:r>
      <w:r w:rsidRPr="00667940">
        <w:rPr>
          <w:rFonts w:ascii="Times New Roman" w:eastAsia="Times New Roman" w:hAnsi="Times New Roman" w:cs="Times New Roman"/>
          <w:sz w:val="24"/>
          <w:szCs w:val="24"/>
        </w:rPr>
        <w:t>(</w:t>
      </w:r>
      <w:proofErr w:type="gramEnd"/>
      <w:r w:rsidRPr="00667940">
        <w:rPr>
          <w:rFonts w:ascii="Times New Roman" w:eastAsia="Times New Roman" w:hAnsi="Times New Roman" w:cs="Times New Roman"/>
          <w:sz w:val="24"/>
          <w:szCs w:val="24"/>
        </w:rPr>
        <w:t xml:space="preserve">13,700) = 1.80, </w:t>
      </w:r>
      <w:r w:rsidRPr="00667940">
        <w:rPr>
          <w:rFonts w:ascii="Times New Roman" w:eastAsia="Times New Roman" w:hAnsi="Times New Roman" w:cs="Times New Roman"/>
          <w:i/>
          <w:sz w:val="24"/>
          <w:szCs w:val="24"/>
        </w:rPr>
        <w:t xml:space="preserve">p </w:t>
      </w:r>
      <w:r w:rsidRPr="00667940">
        <w:rPr>
          <w:rFonts w:ascii="Times New Roman" w:eastAsia="Times New Roman" w:hAnsi="Times New Roman" w:cs="Times New Roman"/>
          <w:sz w:val="24"/>
          <w:szCs w:val="24"/>
        </w:rPr>
        <w:t xml:space="preserve">= .07 </w:t>
      </w:r>
      <w:r w:rsidRPr="00667940">
        <w:rPr>
          <w:rFonts w:ascii="Times New Roman" w:eastAsia="Times New Roman" w:hAnsi="Times New Roman" w:cs="Times New Roman"/>
          <w:i/>
          <w:sz w:val="24"/>
          <w:szCs w:val="24"/>
        </w:rPr>
        <w:t xml:space="preserve">d </w:t>
      </w:r>
      <w:r w:rsidRPr="00667940">
        <w:rPr>
          <w:rFonts w:ascii="Times New Roman" w:eastAsia="Times New Roman" w:hAnsi="Times New Roman" w:cs="Times New Roman"/>
          <w:sz w:val="24"/>
          <w:szCs w:val="24"/>
        </w:rPr>
        <w:t xml:space="preserve">= .03, 95% CI [.00, .06]. Although statistically significant, the effect of gender on need threat falls short of what we deem practically significant in the current project </w:t>
      </w:r>
      <w:r w:rsidR="008C6D5E">
        <w:rPr>
          <w:rFonts w:ascii="Times New Roman" w:hAnsi="Times New Roman" w:cs="Times New Roman"/>
          <w:sz w:val="24"/>
          <w:szCs w:val="24"/>
        </w:rPr>
        <w:t>(d = .41, Ferguson, 2009)</w:t>
      </w:r>
      <w:r w:rsidRPr="00667940">
        <w:rPr>
          <w:rFonts w:ascii="Times New Roman" w:eastAsia="Times New Roman" w:hAnsi="Times New Roman" w:cs="Times New Roman"/>
          <w:sz w:val="24"/>
          <w:szCs w:val="24"/>
        </w:rPr>
        <w:t xml:space="preserve">. </w:t>
      </w:r>
    </w:p>
    <w:p w14:paraId="43092E9A" w14:textId="1DA603BC" w:rsidR="002547CE" w:rsidRPr="00667940" w:rsidRDefault="002649C8" w:rsidP="00501476">
      <w:pPr>
        <w:pStyle w:val="Heading3"/>
      </w:pPr>
      <w:r>
        <w:lastRenderedPageBreak/>
        <w:t xml:space="preserve">5.1.2. </w:t>
      </w:r>
      <w:r w:rsidRPr="00667940">
        <w:t xml:space="preserve">Does age influence need threat? </w:t>
      </w:r>
    </w:p>
    <w:p w14:paraId="524D904D" w14:textId="77777777"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ab/>
        <w:t xml:space="preserve">Participant age was statistically correlated with overall need threat </w:t>
      </w:r>
      <w:r w:rsidRPr="00667940">
        <w:rPr>
          <w:rFonts w:ascii="Times New Roman" w:eastAsia="Times New Roman" w:hAnsi="Times New Roman" w:cs="Times New Roman"/>
          <w:i/>
          <w:sz w:val="24"/>
          <w:szCs w:val="24"/>
        </w:rPr>
        <w:t>r</w:t>
      </w:r>
      <w:r w:rsidRPr="00667940">
        <w:rPr>
          <w:rFonts w:ascii="Times New Roman" w:eastAsia="Times New Roman" w:hAnsi="Times New Roman" w:cs="Times New Roman"/>
          <w:sz w:val="24"/>
          <w:szCs w:val="24"/>
        </w:rPr>
        <w:t xml:space="preserve"> = -.03, </w:t>
      </w:r>
      <w:r w:rsidRPr="00667940">
        <w:rPr>
          <w:rFonts w:ascii="Times New Roman" w:eastAsia="Times New Roman" w:hAnsi="Times New Roman" w:cs="Times New Roman"/>
          <w:i/>
          <w:sz w:val="24"/>
          <w:szCs w:val="24"/>
        </w:rPr>
        <w:t>p</w:t>
      </w:r>
      <w:r w:rsidRPr="00667940">
        <w:rPr>
          <w:rFonts w:ascii="Times New Roman" w:eastAsia="Times New Roman" w:hAnsi="Times New Roman" w:cs="Times New Roman"/>
          <w:sz w:val="24"/>
          <w:szCs w:val="24"/>
        </w:rPr>
        <w:t xml:space="preserve"> &lt; .001, and anger </w:t>
      </w:r>
      <w:r w:rsidRPr="00667940">
        <w:rPr>
          <w:rFonts w:ascii="Times New Roman" w:eastAsia="Times New Roman" w:hAnsi="Times New Roman" w:cs="Times New Roman"/>
          <w:i/>
          <w:sz w:val="24"/>
          <w:szCs w:val="24"/>
        </w:rPr>
        <w:t xml:space="preserve">r </w:t>
      </w:r>
      <w:r w:rsidRPr="00667940">
        <w:rPr>
          <w:rFonts w:ascii="Times New Roman" w:eastAsia="Times New Roman" w:hAnsi="Times New Roman" w:cs="Times New Roman"/>
          <w:sz w:val="24"/>
          <w:szCs w:val="24"/>
        </w:rPr>
        <w:t xml:space="preserve">= -.04, </w:t>
      </w:r>
      <w:r w:rsidRPr="00667940">
        <w:rPr>
          <w:rFonts w:ascii="Times New Roman" w:eastAsia="Times New Roman" w:hAnsi="Times New Roman" w:cs="Times New Roman"/>
          <w:i/>
          <w:sz w:val="24"/>
          <w:szCs w:val="24"/>
        </w:rPr>
        <w:t xml:space="preserve">p </w:t>
      </w:r>
      <w:r w:rsidRPr="00667940">
        <w:rPr>
          <w:rFonts w:ascii="Times New Roman" w:eastAsia="Times New Roman" w:hAnsi="Times New Roman" w:cs="Times New Roman"/>
          <w:sz w:val="24"/>
          <w:szCs w:val="24"/>
        </w:rPr>
        <w:t xml:space="preserve">&lt; .001. Note that both correlations are not practically relevant (i.e., </w:t>
      </w:r>
      <w:r w:rsidRPr="00667940">
        <w:rPr>
          <w:rFonts w:ascii="Times New Roman" w:eastAsia="Times New Roman" w:hAnsi="Times New Roman" w:cs="Times New Roman"/>
          <w:i/>
          <w:sz w:val="24"/>
          <w:szCs w:val="24"/>
        </w:rPr>
        <w:t xml:space="preserve">r </w:t>
      </w:r>
      <w:r w:rsidRPr="00667940">
        <w:rPr>
          <w:rFonts w:ascii="Times New Roman" w:eastAsia="Times New Roman" w:hAnsi="Times New Roman" w:cs="Times New Roman"/>
          <w:sz w:val="24"/>
          <w:szCs w:val="24"/>
        </w:rPr>
        <w:t>&lt; .20) and we would thus be hesitant to conclude that older participants in our sample are indeed less negatively affected by exclusion than younger participants.</w:t>
      </w:r>
    </w:p>
    <w:p w14:paraId="04A5C952" w14:textId="206787B0" w:rsidR="002547CE" w:rsidRPr="00667940" w:rsidRDefault="002649C8" w:rsidP="00501476">
      <w:pPr>
        <w:pStyle w:val="Heading3"/>
      </w:pPr>
      <w:r>
        <w:t xml:space="preserve">5.1.3. </w:t>
      </w:r>
      <w:r w:rsidRPr="00667940">
        <w:t xml:space="preserve">Does avatar choice influence need threat? </w:t>
      </w:r>
    </w:p>
    <w:p w14:paraId="6728FF1E" w14:textId="6324FDC2" w:rsidR="002547CE" w:rsidRPr="000F732D"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ab/>
        <w:t>Participants were able to select an avatar from a pool of 6 avatars (see Table 2, for descriptive statistics). One-way ANOVA’s with six levels (avatars 1 to 6) showed that a</w:t>
      </w:r>
      <w:r w:rsidRPr="000F732D">
        <w:rPr>
          <w:rFonts w:ascii="Times New Roman" w:eastAsia="Times New Roman" w:hAnsi="Times New Roman" w:cs="Times New Roman"/>
          <w:sz w:val="24"/>
          <w:szCs w:val="24"/>
        </w:rPr>
        <w:t xml:space="preserve">vatar selection had a significant effect on need threat, </w:t>
      </w:r>
      <w:proofErr w:type="gramStart"/>
      <w:r w:rsidRPr="000F732D">
        <w:rPr>
          <w:rFonts w:ascii="Times New Roman" w:eastAsia="Times New Roman" w:hAnsi="Times New Roman" w:cs="Times New Roman"/>
          <w:i/>
          <w:sz w:val="24"/>
          <w:szCs w:val="24"/>
        </w:rPr>
        <w:t>F</w:t>
      </w:r>
      <w:r w:rsidRPr="000F732D">
        <w:rPr>
          <w:rFonts w:ascii="Times New Roman" w:eastAsia="Times New Roman" w:hAnsi="Times New Roman" w:cs="Times New Roman"/>
          <w:sz w:val="24"/>
          <w:szCs w:val="24"/>
        </w:rPr>
        <w:t>(</w:t>
      </w:r>
      <w:proofErr w:type="gramEnd"/>
      <w:r w:rsidRPr="000F732D">
        <w:rPr>
          <w:rFonts w:ascii="Times New Roman" w:eastAsia="Times New Roman" w:hAnsi="Times New Roman" w:cs="Times New Roman"/>
          <w:sz w:val="24"/>
          <w:szCs w:val="24"/>
        </w:rPr>
        <w:t xml:space="preserve">5, 14,059) = 19.64, </w:t>
      </w:r>
      <w:r w:rsidRPr="000F732D">
        <w:rPr>
          <w:rFonts w:ascii="Times New Roman" w:eastAsia="Times New Roman" w:hAnsi="Times New Roman" w:cs="Times New Roman"/>
          <w:i/>
          <w:sz w:val="24"/>
          <w:szCs w:val="24"/>
        </w:rPr>
        <w:t xml:space="preserve">p </w:t>
      </w:r>
      <w:r w:rsidRPr="000F732D">
        <w:rPr>
          <w:rFonts w:ascii="Times New Roman" w:eastAsia="Times New Roman" w:hAnsi="Times New Roman" w:cs="Times New Roman"/>
          <w:sz w:val="24"/>
          <w:szCs w:val="24"/>
        </w:rPr>
        <w:t xml:space="preserve">&lt; .001, </w:t>
      </w:r>
      <m:oMath>
        <m:sSup>
          <m:sSupPr>
            <m:ctrlPr>
              <w:rPr>
                <w:rFonts w:ascii="Cambria Math" w:eastAsia="Times New Roman" w:hAnsi="Cambria Math" w:cs="Times New Roman"/>
                <w:i/>
                <w:sz w:val="24"/>
                <w:szCs w:val="24"/>
              </w:rPr>
            </m:ctrlPr>
          </m:sSupPr>
          <m:e>
            <m:r>
              <w:rPr>
                <w:rFonts w:ascii="Cambria Math" w:hAnsi="Cambria Math" w:cs="Times New Roman"/>
                <w:sz w:val="24"/>
                <w:szCs w:val="24"/>
              </w:rPr>
              <m:t>η</m:t>
            </m:r>
          </m:e>
          <m:sup>
            <m:r>
              <w:rPr>
                <w:rFonts w:ascii="Cambria Math" w:eastAsia="Times New Roman" w:hAnsi="Cambria Math" w:cs="Times New Roman"/>
                <w:sz w:val="24"/>
                <w:szCs w:val="24"/>
              </w:rPr>
              <m:t>2</m:t>
            </m:r>
          </m:sup>
        </m:sSup>
      </m:oMath>
      <w:r w:rsidRPr="000F732D">
        <w:rPr>
          <w:rFonts w:ascii="Times New Roman" w:eastAsia="Times New Roman" w:hAnsi="Times New Roman" w:cs="Times New Roman"/>
          <w:sz w:val="24"/>
          <w:szCs w:val="24"/>
        </w:rPr>
        <w:t xml:space="preserve"> = .007, and anger </w:t>
      </w:r>
      <w:r w:rsidRPr="000F732D">
        <w:rPr>
          <w:rFonts w:ascii="Times New Roman" w:eastAsia="Times New Roman" w:hAnsi="Times New Roman" w:cs="Times New Roman"/>
          <w:i/>
          <w:sz w:val="24"/>
          <w:szCs w:val="24"/>
        </w:rPr>
        <w:t>F</w:t>
      </w:r>
      <w:r w:rsidRPr="000F732D">
        <w:rPr>
          <w:rFonts w:ascii="Times New Roman" w:eastAsia="Times New Roman" w:hAnsi="Times New Roman" w:cs="Times New Roman"/>
          <w:sz w:val="24"/>
          <w:szCs w:val="24"/>
        </w:rPr>
        <w:t xml:space="preserve">(5, 14,059) = 5.94, </w:t>
      </w:r>
      <w:r w:rsidRPr="000F732D">
        <w:rPr>
          <w:rFonts w:ascii="Times New Roman" w:eastAsia="Times New Roman" w:hAnsi="Times New Roman" w:cs="Times New Roman"/>
          <w:i/>
          <w:sz w:val="24"/>
          <w:szCs w:val="24"/>
        </w:rPr>
        <w:t xml:space="preserve">p </w:t>
      </w:r>
      <w:r w:rsidRPr="000F732D">
        <w:rPr>
          <w:rFonts w:ascii="Times New Roman" w:eastAsia="Times New Roman" w:hAnsi="Times New Roman" w:cs="Times New Roman"/>
          <w:sz w:val="24"/>
          <w:szCs w:val="24"/>
        </w:rPr>
        <w:t xml:space="preserve">&lt; .001, </w:t>
      </w:r>
      <m:oMath>
        <m:sSup>
          <m:sSupPr>
            <m:ctrlPr>
              <w:rPr>
                <w:rFonts w:ascii="Cambria Math" w:eastAsia="Times New Roman" w:hAnsi="Cambria Math" w:cs="Times New Roman"/>
                <w:sz w:val="24"/>
                <w:szCs w:val="24"/>
              </w:rPr>
            </m:ctrlPr>
          </m:sSupPr>
          <m:e>
            <m:r>
              <w:rPr>
                <w:rFonts w:ascii="Cambria Math" w:hAnsi="Cambria Math" w:cs="Times New Roman"/>
                <w:sz w:val="24"/>
                <w:szCs w:val="24"/>
              </w:rPr>
              <m:t>η</m:t>
            </m:r>
          </m:e>
          <m:sup>
            <m:r>
              <w:rPr>
                <w:rFonts w:ascii="Cambria Math" w:eastAsia="Times New Roman" w:hAnsi="Cambria Math" w:cs="Times New Roman"/>
                <w:sz w:val="24"/>
                <w:szCs w:val="24"/>
              </w:rPr>
              <m:t>2</m:t>
            </m:r>
          </m:sup>
        </m:sSup>
      </m:oMath>
      <w:r w:rsidRPr="000F732D">
        <w:rPr>
          <w:rFonts w:ascii="Times New Roman" w:eastAsia="Times New Roman" w:hAnsi="Times New Roman" w:cs="Times New Roman"/>
          <w:sz w:val="24"/>
          <w:szCs w:val="24"/>
        </w:rPr>
        <w:t xml:space="preserve"> = .</w:t>
      </w:r>
      <w:r w:rsidR="000F732D" w:rsidRPr="000F732D">
        <w:rPr>
          <w:rFonts w:ascii="Times New Roman" w:eastAsia="Times New Roman" w:hAnsi="Times New Roman" w:cs="Times New Roman"/>
          <w:sz w:val="24"/>
          <w:szCs w:val="24"/>
        </w:rPr>
        <w:t>002</w:t>
      </w:r>
      <w:r w:rsidRPr="000F732D">
        <w:rPr>
          <w:rFonts w:ascii="Times New Roman" w:eastAsia="Times New Roman" w:hAnsi="Times New Roman" w:cs="Times New Roman"/>
          <w:sz w:val="24"/>
          <w:szCs w:val="24"/>
        </w:rPr>
        <w:t xml:space="preserve">, Due to the negligible effect sizes, we did not follow-up these effects with post-hoc analyses. </w:t>
      </w:r>
    </w:p>
    <w:p w14:paraId="2AD001CF" w14:textId="0BA59B1E" w:rsidR="002547CE" w:rsidRPr="00667940" w:rsidRDefault="0096142E">
      <w:pPr>
        <w:keepNext/>
        <w:spacing w:line="480" w:lineRule="auto"/>
        <w:rPr>
          <w:rFonts w:ascii="Times New Roman" w:eastAsia="Times New Roman" w:hAnsi="Times New Roman" w:cs="Times New Roman"/>
          <w:b/>
          <w:sz w:val="24"/>
          <w:szCs w:val="24"/>
        </w:rPr>
      </w:pPr>
      <w:r w:rsidRPr="000F732D">
        <w:rPr>
          <w:rFonts w:ascii="Times New Roman" w:eastAsia="Times New Roman" w:hAnsi="Times New Roman" w:cs="Times New Roman"/>
          <w:b/>
          <w:sz w:val="24"/>
          <w:szCs w:val="24"/>
        </w:rPr>
        <w:t xml:space="preserve">Table </w:t>
      </w:r>
      <w:r w:rsidR="002649C8" w:rsidRPr="000F732D">
        <w:rPr>
          <w:rFonts w:ascii="Times New Roman" w:eastAsia="Times New Roman" w:hAnsi="Times New Roman" w:cs="Times New Roman"/>
          <w:b/>
          <w:sz w:val="24"/>
          <w:szCs w:val="24"/>
        </w:rPr>
        <w:t>S.1.</w:t>
      </w:r>
    </w:p>
    <w:p w14:paraId="08E228DC" w14:textId="77777777" w:rsidR="002547CE" w:rsidRPr="00667940" w:rsidRDefault="0096142E">
      <w:pPr>
        <w:keepNext/>
        <w:spacing w:line="480" w:lineRule="auto"/>
        <w:rPr>
          <w:rFonts w:ascii="Times New Roman" w:eastAsia="Times New Roman" w:hAnsi="Times New Roman" w:cs="Times New Roman"/>
          <w:i/>
          <w:sz w:val="24"/>
          <w:szCs w:val="24"/>
        </w:rPr>
      </w:pPr>
      <w:r w:rsidRPr="00667940">
        <w:rPr>
          <w:rFonts w:ascii="Times New Roman" w:eastAsia="Times New Roman" w:hAnsi="Times New Roman" w:cs="Times New Roman"/>
          <w:sz w:val="24"/>
          <w:szCs w:val="24"/>
        </w:rPr>
        <w:tab/>
      </w:r>
      <w:r w:rsidRPr="00667940">
        <w:rPr>
          <w:rFonts w:ascii="Times New Roman" w:eastAsia="Times New Roman" w:hAnsi="Times New Roman" w:cs="Times New Roman"/>
          <w:i/>
          <w:sz w:val="24"/>
          <w:szCs w:val="24"/>
        </w:rPr>
        <w:t>Selection of available avatars with corresponding descriptive statistics</w:t>
      </w:r>
    </w:p>
    <w:tbl>
      <w:tblPr>
        <w:tblStyle w:val="a"/>
        <w:tblW w:w="5000" w:type="pct"/>
        <w:tblBorders>
          <w:top w:val="single" w:sz="12" w:space="0" w:color="000000"/>
          <w:left w:val="single" w:sz="4" w:space="0" w:color="BFBFBF"/>
          <w:bottom w:val="single" w:sz="12" w:space="0" w:color="000000"/>
          <w:right w:val="single" w:sz="4" w:space="0" w:color="BFBFBF"/>
          <w:insideH w:val="single" w:sz="4" w:space="0" w:color="BFBFBF"/>
          <w:insideV w:val="single" w:sz="4" w:space="0" w:color="BFBFBF"/>
        </w:tblBorders>
        <w:tblLook w:val="0400" w:firstRow="0" w:lastRow="0" w:firstColumn="0" w:lastColumn="0" w:noHBand="0" w:noVBand="1"/>
      </w:tblPr>
      <w:tblGrid>
        <w:gridCol w:w="1847"/>
        <w:gridCol w:w="1253"/>
        <w:gridCol w:w="1252"/>
        <w:gridCol w:w="1252"/>
        <w:gridCol w:w="1252"/>
        <w:gridCol w:w="1252"/>
        <w:gridCol w:w="1252"/>
      </w:tblGrid>
      <w:tr w:rsidR="00920DE8" w:rsidRPr="00667940" w14:paraId="0E0846C2" w14:textId="77777777" w:rsidTr="009A7241">
        <w:tc>
          <w:tcPr>
            <w:tcW w:w="986" w:type="pct"/>
            <w:tcBorders>
              <w:top w:val="single" w:sz="4" w:space="0" w:color="000000"/>
              <w:left w:val="nil"/>
              <w:bottom w:val="single" w:sz="4" w:space="0" w:color="000000"/>
              <w:right w:val="nil"/>
            </w:tcBorders>
            <w:vAlign w:val="center"/>
          </w:tcPr>
          <w:p w14:paraId="5E6B8375" w14:textId="129B4F5B" w:rsidR="00920DE8" w:rsidRPr="00667940" w:rsidRDefault="00920DE8" w:rsidP="00920DE8">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#Avatar</w:t>
            </w:r>
          </w:p>
        </w:tc>
        <w:tc>
          <w:tcPr>
            <w:tcW w:w="669" w:type="pct"/>
            <w:tcBorders>
              <w:top w:val="single" w:sz="4" w:space="0" w:color="000000"/>
              <w:left w:val="nil"/>
              <w:bottom w:val="single" w:sz="4" w:space="0" w:color="000000"/>
              <w:right w:val="nil"/>
            </w:tcBorders>
            <w:vAlign w:val="center"/>
          </w:tcPr>
          <w:p w14:paraId="5D9F0B40" w14:textId="55CB3D02" w:rsidR="00920DE8" w:rsidRPr="00667940" w:rsidRDefault="00920DE8">
            <w:pPr>
              <w:keepNext/>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669" w:type="pct"/>
            <w:tcBorders>
              <w:top w:val="single" w:sz="4" w:space="0" w:color="000000"/>
              <w:left w:val="nil"/>
              <w:bottom w:val="single" w:sz="4" w:space="0" w:color="000000"/>
              <w:right w:val="nil"/>
            </w:tcBorders>
            <w:vAlign w:val="center"/>
          </w:tcPr>
          <w:p w14:paraId="397F77BC" w14:textId="650DBD22" w:rsidR="00920DE8" w:rsidRPr="00667940" w:rsidRDefault="00920DE8">
            <w:pPr>
              <w:keepNext/>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669" w:type="pct"/>
            <w:tcBorders>
              <w:top w:val="single" w:sz="4" w:space="0" w:color="000000"/>
              <w:left w:val="nil"/>
              <w:bottom w:val="single" w:sz="4" w:space="0" w:color="000000"/>
              <w:right w:val="nil"/>
            </w:tcBorders>
            <w:vAlign w:val="center"/>
          </w:tcPr>
          <w:p w14:paraId="6A2126D5" w14:textId="42547C4E" w:rsidR="00920DE8" w:rsidRPr="00667940" w:rsidRDefault="00920DE8">
            <w:pPr>
              <w:keepNext/>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669" w:type="pct"/>
            <w:tcBorders>
              <w:top w:val="single" w:sz="4" w:space="0" w:color="000000"/>
              <w:left w:val="nil"/>
              <w:bottom w:val="single" w:sz="4" w:space="0" w:color="000000"/>
              <w:right w:val="nil"/>
            </w:tcBorders>
            <w:vAlign w:val="center"/>
          </w:tcPr>
          <w:p w14:paraId="14DBBAC8" w14:textId="0F97F06C" w:rsidR="00920DE8" w:rsidRPr="00667940" w:rsidRDefault="00920DE8">
            <w:pPr>
              <w:keepNext/>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669" w:type="pct"/>
            <w:tcBorders>
              <w:top w:val="single" w:sz="4" w:space="0" w:color="000000"/>
              <w:left w:val="nil"/>
              <w:bottom w:val="single" w:sz="4" w:space="0" w:color="000000"/>
              <w:right w:val="nil"/>
            </w:tcBorders>
            <w:vAlign w:val="center"/>
          </w:tcPr>
          <w:p w14:paraId="4C9958BB" w14:textId="66564BCB" w:rsidR="00920DE8" w:rsidRPr="00667940" w:rsidRDefault="00920DE8">
            <w:pPr>
              <w:keepNext/>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669" w:type="pct"/>
            <w:tcBorders>
              <w:top w:val="single" w:sz="4" w:space="0" w:color="000000"/>
              <w:left w:val="nil"/>
              <w:bottom w:val="single" w:sz="4" w:space="0" w:color="000000"/>
              <w:right w:val="nil"/>
            </w:tcBorders>
            <w:vAlign w:val="center"/>
          </w:tcPr>
          <w:p w14:paraId="31EDE21D" w14:textId="330FD0A1" w:rsidR="00920DE8" w:rsidRPr="00667940" w:rsidRDefault="00920DE8">
            <w:pPr>
              <w:keepNext/>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r>
      <w:tr w:rsidR="00920DE8" w:rsidRPr="00667940" w14:paraId="1F8F2A79" w14:textId="77777777" w:rsidTr="00920DE8">
        <w:tc>
          <w:tcPr>
            <w:tcW w:w="986" w:type="pct"/>
            <w:tcBorders>
              <w:top w:val="single" w:sz="4" w:space="0" w:color="000000"/>
              <w:left w:val="nil"/>
              <w:bottom w:val="single" w:sz="4" w:space="0" w:color="auto"/>
              <w:right w:val="nil"/>
            </w:tcBorders>
            <w:vAlign w:val="center"/>
          </w:tcPr>
          <w:p w14:paraId="67463E69" w14:textId="68D3C06D" w:rsidR="002547CE" w:rsidRPr="00667940" w:rsidRDefault="002547CE" w:rsidP="006C5602">
            <w:pPr>
              <w:keepNext/>
              <w:jc w:val="center"/>
              <w:rPr>
                <w:rFonts w:ascii="Times New Roman" w:eastAsia="Times New Roman" w:hAnsi="Times New Roman" w:cs="Times New Roman"/>
                <w:color w:val="222222"/>
                <w:sz w:val="24"/>
                <w:szCs w:val="24"/>
              </w:rPr>
            </w:pPr>
          </w:p>
        </w:tc>
        <w:tc>
          <w:tcPr>
            <w:tcW w:w="669" w:type="pct"/>
            <w:tcBorders>
              <w:top w:val="single" w:sz="4" w:space="0" w:color="000000"/>
              <w:left w:val="nil"/>
              <w:bottom w:val="single" w:sz="4" w:space="0" w:color="auto"/>
              <w:right w:val="nil"/>
            </w:tcBorders>
            <w:vAlign w:val="center"/>
          </w:tcPr>
          <w:p w14:paraId="0CD52EB8" w14:textId="436FCFFE"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noProof/>
                <w:sz w:val="24"/>
                <w:szCs w:val="24"/>
              </w:rPr>
              <w:drawing>
                <wp:inline distT="0" distB="0" distL="0" distR="0" wp14:anchorId="7B38EDA5" wp14:editId="5201C4AF">
                  <wp:extent cx="556895" cy="567403"/>
                  <wp:effectExtent l="0" t="0" r="0" b="0"/>
                  <wp:docPr id="6" name="image5.png" descr="C:\Users\u1260033\AppData\Local\Microsoft\Windows\Temporary Internet Files\Content.Word\RegularM.PNG"/>
                  <wp:cNvGraphicFramePr/>
                  <a:graphic xmlns:a="http://schemas.openxmlformats.org/drawingml/2006/main">
                    <a:graphicData uri="http://schemas.openxmlformats.org/drawingml/2006/picture">
                      <pic:pic xmlns:pic="http://schemas.openxmlformats.org/drawingml/2006/picture">
                        <pic:nvPicPr>
                          <pic:cNvPr id="0" name="image5.png" descr="C:\Users\u1260033\AppData\Local\Microsoft\Windows\Temporary Internet Files\Content.Word\RegularM.PNG"/>
                          <pic:cNvPicPr preferRelativeResize="0"/>
                        </pic:nvPicPr>
                        <pic:blipFill>
                          <a:blip r:embed="rId7"/>
                          <a:srcRect/>
                          <a:stretch>
                            <a:fillRect/>
                          </a:stretch>
                        </pic:blipFill>
                        <pic:spPr>
                          <a:xfrm>
                            <a:off x="0" y="0"/>
                            <a:ext cx="556895" cy="567403"/>
                          </a:xfrm>
                          <a:prstGeom prst="rect">
                            <a:avLst/>
                          </a:prstGeom>
                          <a:ln/>
                        </pic:spPr>
                      </pic:pic>
                    </a:graphicData>
                  </a:graphic>
                </wp:inline>
              </w:drawing>
            </w:r>
          </w:p>
        </w:tc>
        <w:tc>
          <w:tcPr>
            <w:tcW w:w="669" w:type="pct"/>
            <w:tcBorders>
              <w:top w:val="single" w:sz="4" w:space="0" w:color="000000"/>
              <w:left w:val="nil"/>
              <w:bottom w:val="single" w:sz="4" w:space="0" w:color="auto"/>
              <w:right w:val="nil"/>
            </w:tcBorders>
            <w:vAlign w:val="center"/>
          </w:tcPr>
          <w:p w14:paraId="696E03E3" w14:textId="4CEFBD86"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noProof/>
                <w:sz w:val="24"/>
                <w:szCs w:val="24"/>
              </w:rPr>
              <w:drawing>
                <wp:inline distT="0" distB="0" distL="0" distR="0" wp14:anchorId="28E33D3A" wp14:editId="30B090C5">
                  <wp:extent cx="571331" cy="571331"/>
                  <wp:effectExtent l="0" t="0" r="0" b="0"/>
                  <wp:docPr id="4" name="image1.png" descr="BeanieM"/>
                  <wp:cNvGraphicFramePr/>
                  <a:graphic xmlns:a="http://schemas.openxmlformats.org/drawingml/2006/main">
                    <a:graphicData uri="http://schemas.openxmlformats.org/drawingml/2006/picture">
                      <pic:pic xmlns:pic="http://schemas.openxmlformats.org/drawingml/2006/picture">
                        <pic:nvPicPr>
                          <pic:cNvPr id="0" name="image1.png" descr="BeanieM"/>
                          <pic:cNvPicPr preferRelativeResize="0"/>
                        </pic:nvPicPr>
                        <pic:blipFill>
                          <a:blip r:embed="rId8"/>
                          <a:srcRect/>
                          <a:stretch>
                            <a:fillRect/>
                          </a:stretch>
                        </pic:blipFill>
                        <pic:spPr>
                          <a:xfrm>
                            <a:off x="0" y="0"/>
                            <a:ext cx="571331" cy="571331"/>
                          </a:xfrm>
                          <a:prstGeom prst="rect">
                            <a:avLst/>
                          </a:prstGeom>
                          <a:ln/>
                        </pic:spPr>
                      </pic:pic>
                    </a:graphicData>
                  </a:graphic>
                </wp:inline>
              </w:drawing>
            </w:r>
          </w:p>
        </w:tc>
        <w:tc>
          <w:tcPr>
            <w:tcW w:w="669" w:type="pct"/>
            <w:tcBorders>
              <w:top w:val="single" w:sz="4" w:space="0" w:color="000000"/>
              <w:left w:val="nil"/>
              <w:bottom w:val="single" w:sz="4" w:space="0" w:color="auto"/>
              <w:right w:val="nil"/>
            </w:tcBorders>
            <w:vAlign w:val="center"/>
          </w:tcPr>
          <w:p w14:paraId="3C97FA66" w14:textId="00D8583D"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noProof/>
                <w:sz w:val="24"/>
                <w:szCs w:val="24"/>
              </w:rPr>
              <w:drawing>
                <wp:inline distT="0" distB="0" distL="0" distR="0" wp14:anchorId="00AE9FF9" wp14:editId="463BD518">
                  <wp:extent cx="571331" cy="571331"/>
                  <wp:effectExtent l="0" t="0" r="0" b="0"/>
                  <wp:docPr id="2" name="image4.png" descr="C:\Users\u1260033\AppData\Local\Microsoft\Windows\Temporary Internet Files\Content.Word\MohawkM.PNG"/>
                  <wp:cNvGraphicFramePr/>
                  <a:graphic xmlns:a="http://schemas.openxmlformats.org/drawingml/2006/main">
                    <a:graphicData uri="http://schemas.openxmlformats.org/drawingml/2006/picture">
                      <pic:pic xmlns:pic="http://schemas.openxmlformats.org/drawingml/2006/picture">
                        <pic:nvPicPr>
                          <pic:cNvPr id="0" name="image4.png" descr="C:\Users\u1260033\AppData\Local\Microsoft\Windows\Temporary Internet Files\Content.Word\MohawkM.PNG"/>
                          <pic:cNvPicPr preferRelativeResize="0"/>
                        </pic:nvPicPr>
                        <pic:blipFill>
                          <a:blip r:embed="rId9"/>
                          <a:srcRect/>
                          <a:stretch>
                            <a:fillRect/>
                          </a:stretch>
                        </pic:blipFill>
                        <pic:spPr>
                          <a:xfrm>
                            <a:off x="0" y="0"/>
                            <a:ext cx="571331" cy="571331"/>
                          </a:xfrm>
                          <a:prstGeom prst="rect">
                            <a:avLst/>
                          </a:prstGeom>
                          <a:ln/>
                        </pic:spPr>
                      </pic:pic>
                    </a:graphicData>
                  </a:graphic>
                </wp:inline>
              </w:drawing>
            </w:r>
          </w:p>
        </w:tc>
        <w:tc>
          <w:tcPr>
            <w:tcW w:w="669" w:type="pct"/>
            <w:tcBorders>
              <w:top w:val="single" w:sz="4" w:space="0" w:color="000000"/>
              <w:left w:val="nil"/>
              <w:bottom w:val="single" w:sz="4" w:space="0" w:color="auto"/>
              <w:right w:val="nil"/>
            </w:tcBorders>
            <w:vAlign w:val="center"/>
          </w:tcPr>
          <w:p w14:paraId="2D6DFA37" w14:textId="697CBCA1"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noProof/>
                <w:sz w:val="24"/>
                <w:szCs w:val="24"/>
              </w:rPr>
              <w:drawing>
                <wp:inline distT="0" distB="0" distL="0" distR="0" wp14:anchorId="006AD80F" wp14:editId="1DEF6A54">
                  <wp:extent cx="603544" cy="592470"/>
                  <wp:effectExtent l="0" t="0" r="0" b="0"/>
                  <wp:docPr id="1" name="image2.png" descr="C:\Users\u1260033\AppData\Local\Microsoft\Windows\Temporary Internet Files\Content.Word\RegularF.PNG"/>
                  <wp:cNvGraphicFramePr/>
                  <a:graphic xmlns:a="http://schemas.openxmlformats.org/drawingml/2006/main">
                    <a:graphicData uri="http://schemas.openxmlformats.org/drawingml/2006/picture">
                      <pic:pic xmlns:pic="http://schemas.openxmlformats.org/drawingml/2006/picture">
                        <pic:nvPicPr>
                          <pic:cNvPr id="0" name="image2.png" descr="C:\Users\u1260033\AppData\Local\Microsoft\Windows\Temporary Internet Files\Content.Word\RegularF.PNG"/>
                          <pic:cNvPicPr preferRelativeResize="0"/>
                        </pic:nvPicPr>
                        <pic:blipFill>
                          <a:blip r:embed="rId10"/>
                          <a:srcRect/>
                          <a:stretch>
                            <a:fillRect/>
                          </a:stretch>
                        </pic:blipFill>
                        <pic:spPr>
                          <a:xfrm>
                            <a:off x="0" y="0"/>
                            <a:ext cx="603544" cy="592470"/>
                          </a:xfrm>
                          <a:prstGeom prst="rect">
                            <a:avLst/>
                          </a:prstGeom>
                          <a:ln/>
                        </pic:spPr>
                      </pic:pic>
                    </a:graphicData>
                  </a:graphic>
                </wp:inline>
              </w:drawing>
            </w:r>
          </w:p>
        </w:tc>
        <w:tc>
          <w:tcPr>
            <w:tcW w:w="669" w:type="pct"/>
            <w:tcBorders>
              <w:top w:val="single" w:sz="4" w:space="0" w:color="000000"/>
              <w:left w:val="nil"/>
              <w:bottom w:val="single" w:sz="4" w:space="0" w:color="auto"/>
              <w:right w:val="nil"/>
            </w:tcBorders>
            <w:vAlign w:val="center"/>
          </w:tcPr>
          <w:p w14:paraId="6F24DDAE" w14:textId="7752186C"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noProof/>
                <w:sz w:val="24"/>
                <w:szCs w:val="24"/>
              </w:rPr>
              <w:drawing>
                <wp:inline distT="0" distB="0" distL="0" distR="0" wp14:anchorId="04CED8CF" wp14:editId="0E603656">
                  <wp:extent cx="622522" cy="592657"/>
                  <wp:effectExtent l="0" t="0" r="0" b="0"/>
                  <wp:docPr id="5" name="image6.png" descr="Long-hairF"/>
                  <wp:cNvGraphicFramePr/>
                  <a:graphic xmlns:a="http://schemas.openxmlformats.org/drawingml/2006/main">
                    <a:graphicData uri="http://schemas.openxmlformats.org/drawingml/2006/picture">
                      <pic:pic xmlns:pic="http://schemas.openxmlformats.org/drawingml/2006/picture">
                        <pic:nvPicPr>
                          <pic:cNvPr id="0" name="image6.png" descr="Long-hairF"/>
                          <pic:cNvPicPr preferRelativeResize="0"/>
                        </pic:nvPicPr>
                        <pic:blipFill>
                          <a:blip r:embed="rId11"/>
                          <a:srcRect/>
                          <a:stretch>
                            <a:fillRect/>
                          </a:stretch>
                        </pic:blipFill>
                        <pic:spPr>
                          <a:xfrm>
                            <a:off x="0" y="0"/>
                            <a:ext cx="622522" cy="592657"/>
                          </a:xfrm>
                          <a:prstGeom prst="rect">
                            <a:avLst/>
                          </a:prstGeom>
                          <a:ln/>
                        </pic:spPr>
                      </pic:pic>
                    </a:graphicData>
                  </a:graphic>
                </wp:inline>
              </w:drawing>
            </w:r>
          </w:p>
        </w:tc>
        <w:tc>
          <w:tcPr>
            <w:tcW w:w="669" w:type="pct"/>
            <w:tcBorders>
              <w:top w:val="single" w:sz="4" w:space="0" w:color="000000"/>
              <w:left w:val="nil"/>
              <w:bottom w:val="single" w:sz="4" w:space="0" w:color="auto"/>
              <w:right w:val="nil"/>
            </w:tcBorders>
            <w:vAlign w:val="center"/>
          </w:tcPr>
          <w:p w14:paraId="745943E9" w14:textId="237FEB7C"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noProof/>
                <w:sz w:val="24"/>
                <w:szCs w:val="24"/>
              </w:rPr>
              <w:drawing>
                <wp:inline distT="0" distB="0" distL="0" distR="0" wp14:anchorId="1C1134C2" wp14:editId="5B21B873">
                  <wp:extent cx="575901" cy="575901"/>
                  <wp:effectExtent l="0" t="0" r="0" b="0"/>
                  <wp:docPr id="3" name="image3.png" descr="HijabF"/>
                  <wp:cNvGraphicFramePr/>
                  <a:graphic xmlns:a="http://schemas.openxmlformats.org/drawingml/2006/main">
                    <a:graphicData uri="http://schemas.openxmlformats.org/drawingml/2006/picture">
                      <pic:pic xmlns:pic="http://schemas.openxmlformats.org/drawingml/2006/picture">
                        <pic:nvPicPr>
                          <pic:cNvPr id="0" name="image3.png" descr="HijabF"/>
                          <pic:cNvPicPr preferRelativeResize="0"/>
                        </pic:nvPicPr>
                        <pic:blipFill>
                          <a:blip r:embed="rId12"/>
                          <a:srcRect/>
                          <a:stretch>
                            <a:fillRect/>
                          </a:stretch>
                        </pic:blipFill>
                        <pic:spPr>
                          <a:xfrm>
                            <a:off x="0" y="0"/>
                            <a:ext cx="575901" cy="575901"/>
                          </a:xfrm>
                          <a:prstGeom prst="rect">
                            <a:avLst/>
                          </a:prstGeom>
                          <a:ln/>
                        </pic:spPr>
                      </pic:pic>
                    </a:graphicData>
                  </a:graphic>
                </wp:inline>
              </w:drawing>
            </w:r>
          </w:p>
        </w:tc>
      </w:tr>
      <w:tr w:rsidR="00920DE8" w:rsidRPr="00667940" w14:paraId="5A442BA8" w14:textId="77777777" w:rsidTr="00920DE8">
        <w:trPr>
          <w:trHeight w:val="562"/>
        </w:trPr>
        <w:tc>
          <w:tcPr>
            <w:tcW w:w="986" w:type="pct"/>
            <w:tcBorders>
              <w:top w:val="single" w:sz="4" w:space="0" w:color="auto"/>
              <w:left w:val="nil"/>
              <w:bottom w:val="nil"/>
              <w:right w:val="nil"/>
            </w:tcBorders>
            <w:vAlign w:val="center"/>
          </w:tcPr>
          <w:p w14:paraId="525D1BED" w14:textId="77777777" w:rsidR="002547CE" w:rsidRPr="00667940" w:rsidRDefault="0096142E" w:rsidP="009A7241">
            <w:pPr>
              <w:keepNext/>
              <w:jc w:val="center"/>
              <w:rPr>
                <w:rFonts w:ascii="Times New Roman" w:eastAsia="Times New Roman" w:hAnsi="Times New Roman" w:cs="Times New Roman"/>
                <w:i/>
                <w:color w:val="222222"/>
                <w:sz w:val="24"/>
                <w:szCs w:val="24"/>
              </w:rPr>
            </w:pPr>
            <w:r w:rsidRPr="00667940">
              <w:rPr>
                <w:rFonts w:ascii="Times New Roman" w:eastAsia="Times New Roman" w:hAnsi="Times New Roman" w:cs="Times New Roman"/>
                <w:i/>
                <w:color w:val="222222"/>
                <w:sz w:val="24"/>
                <w:szCs w:val="24"/>
              </w:rPr>
              <w:t xml:space="preserve">n </w:t>
            </w:r>
            <w:r w:rsidRPr="00667940">
              <w:rPr>
                <w:rFonts w:ascii="Times New Roman" w:eastAsia="Times New Roman" w:hAnsi="Times New Roman" w:cs="Times New Roman"/>
                <w:color w:val="222222"/>
                <w:sz w:val="24"/>
                <w:szCs w:val="24"/>
              </w:rPr>
              <w:t>per avatar</w:t>
            </w:r>
          </w:p>
        </w:tc>
        <w:tc>
          <w:tcPr>
            <w:tcW w:w="669" w:type="pct"/>
            <w:tcBorders>
              <w:top w:val="single" w:sz="4" w:space="0" w:color="auto"/>
              <w:left w:val="nil"/>
              <w:bottom w:val="nil"/>
              <w:right w:val="nil"/>
            </w:tcBorders>
            <w:vAlign w:val="center"/>
          </w:tcPr>
          <w:p w14:paraId="5905473C" w14:textId="5BC26EED"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w:t>
            </w:r>
            <w:r w:rsidR="00C97F57">
              <w:rPr>
                <w:rFonts w:ascii="Times New Roman" w:eastAsia="Times New Roman" w:hAnsi="Times New Roman" w:cs="Times New Roman"/>
                <w:color w:val="222222"/>
                <w:sz w:val="24"/>
                <w:szCs w:val="24"/>
              </w:rPr>
              <w:t>,</w:t>
            </w:r>
            <w:r w:rsidRPr="00667940">
              <w:rPr>
                <w:rFonts w:ascii="Times New Roman" w:eastAsia="Times New Roman" w:hAnsi="Times New Roman" w:cs="Times New Roman"/>
                <w:color w:val="222222"/>
                <w:sz w:val="24"/>
                <w:szCs w:val="24"/>
              </w:rPr>
              <w:t>218</w:t>
            </w:r>
          </w:p>
        </w:tc>
        <w:tc>
          <w:tcPr>
            <w:tcW w:w="669" w:type="pct"/>
            <w:tcBorders>
              <w:top w:val="single" w:sz="4" w:space="0" w:color="auto"/>
              <w:left w:val="nil"/>
              <w:bottom w:val="nil"/>
              <w:right w:val="nil"/>
            </w:tcBorders>
            <w:vAlign w:val="center"/>
          </w:tcPr>
          <w:p w14:paraId="3A8AB777" w14:textId="5141955D"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w:t>
            </w:r>
            <w:r w:rsidR="00C97F57">
              <w:rPr>
                <w:rFonts w:ascii="Times New Roman" w:eastAsia="Times New Roman" w:hAnsi="Times New Roman" w:cs="Times New Roman"/>
                <w:color w:val="222222"/>
                <w:sz w:val="24"/>
                <w:szCs w:val="24"/>
              </w:rPr>
              <w:t>,</w:t>
            </w:r>
            <w:r w:rsidRPr="00667940">
              <w:rPr>
                <w:rFonts w:ascii="Times New Roman" w:eastAsia="Times New Roman" w:hAnsi="Times New Roman" w:cs="Times New Roman"/>
                <w:color w:val="222222"/>
                <w:sz w:val="24"/>
                <w:szCs w:val="24"/>
              </w:rPr>
              <w:t>347</w:t>
            </w:r>
          </w:p>
        </w:tc>
        <w:tc>
          <w:tcPr>
            <w:tcW w:w="669" w:type="pct"/>
            <w:tcBorders>
              <w:top w:val="single" w:sz="4" w:space="0" w:color="auto"/>
              <w:left w:val="nil"/>
              <w:bottom w:val="nil"/>
              <w:right w:val="nil"/>
            </w:tcBorders>
            <w:vAlign w:val="center"/>
          </w:tcPr>
          <w:p w14:paraId="76AD34EE" w14:textId="261A62CE"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1</w:t>
            </w:r>
            <w:r w:rsidR="00C97F57">
              <w:rPr>
                <w:rFonts w:ascii="Times New Roman" w:eastAsia="Times New Roman" w:hAnsi="Times New Roman" w:cs="Times New Roman"/>
                <w:color w:val="222222"/>
                <w:sz w:val="24"/>
                <w:szCs w:val="24"/>
              </w:rPr>
              <w:t>,</w:t>
            </w:r>
            <w:r w:rsidRPr="00667940">
              <w:rPr>
                <w:rFonts w:ascii="Times New Roman" w:eastAsia="Times New Roman" w:hAnsi="Times New Roman" w:cs="Times New Roman"/>
                <w:color w:val="222222"/>
                <w:sz w:val="24"/>
                <w:szCs w:val="24"/>
              </w:rPr>
              <w:t>762</w:t>
            </w:r>
          </w:p>
        </w:tc>
        <w:tc>
          <w:tcPr>
            <w:tcW w:w="669" w:type="pct"/>
            <w:tcBorders>
              <w:top w:val="single" w:sz="4" w:space="0" w:color="auto"/>
              <w:left w:val="nil"/>
              <w:bottom w:val="nil"/>
              <w:right w:val="nil"/>
            </w:tcBorders>
            <w:vAlign w:val="center"/>
          </w:tcPr>
          <w:p w14:paraId="6DD49375" w14:textId="65538704"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w:t>
            </w:r>
            <w:r w:rsidR="00C97F57">
              <w:rPr>
                <w:rFonts w:ascii="Times New Roman" w:eastAsia="Times New Roman" w:hAnsi="Times New Roman" w:cs="Times New Roman"/>
                <w:color w:val="222222"/>
                <w:sz w:val="24"/>
                <w:szCs w:val="24"/>
              </w:rPr>
              <w:t>,</w:t>
            </w:r>
            <w:r w:rsidRPr="00667940">
              <w:rPr>
                <w:rFonts w:ascii="Times New Roman" w:eastAsia="Times New Roman" w:hAnsi="Times New Roman" w:cs="Times New Roman"/>
                <w:color w:val="222222"/>
                <w:sz w:val="24"/>
                <w:szCs w:val="24"/>
              </w:rPr>
              <w:t>714</w:t>
            </w:r>
          </w:p>
        </w:tc>
        <w:tc>
          <w:tcPr>
            <w:tcW w:w="669" w:type="pct"/>
            <w:tcBorders>
              <w:top w:val="single" w:sz="4" w:space="0" w:color="auto"/>
              <w:left w:val="nil"/>
              <w:bottom w:val="nil"/>
              <w:right w:val="nil"/>
            </w:tcBorders>
            <w:vAlign w:val="center"/>
          </w:tcPr>
          <w:p w14:paraId="0F29D93B" w14:textId="3BB24D2F"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3</w:t>
            </w:r>
            <w:r w:rsidR="00C97F57">
              <w:rPr>
                <w:rFonts w:ascii="Times New Roman" w:eastAsia="Times New Roman" w:hAnsi="Times New Roman" w:cs="Times New Roman"/>
                <w:color w:val="222222"/>
                <w:sz w:val="24"/>
                <w:szCs w:val="24"/>
              </w:rPr>
              <w:t>,</w:t>
            </w:r>
            <w:r w:rsidRPr="00667940">
              <w:rPr>
                <w:rFonts w:ascii="Times New Roman" w:eastAsia="Times New Roman" w:hAnsi="Times New Roman" w:cs="Times New Roman"/>
                <w:color w:val="222222"/>
                <w:sz w:val="24"/>
                <w:szCs w:val="24"/>
              </w:rPr>
              <w:t>856</w:t>
            </w:r>
          </w:p>
        </w:tc>
        <w:tc>
          <w:tcPr>
            <w:tcW w:w="669" w:type="pct"/>
            <w:tcBorders>
              <w:top w:val="single" w:sz="4" w:space="0" w:color="auto"/>
              <w:left w:val="nil"/>
              <w:bottom w:val="nil"/>
              <w:right w:val="nil"/>
            </w:tcBorders>
            <w:vAlign w:val="center"/>
          </w:tcPr>
          <w:p w14:paraId="537F6B4C" w14:textId="23C7C2BC"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1</w:t>
            </w:r>
            <w:r w:rsidR="00C97F57">
              <w:rPr>
                <w:rFonts w:ascii="Times New Roman" w:eastAsia="Times New Roman" w:hAnsi="Times New Roman" w:cs="Times New Roman"/>
                <w:color w:val="222222"/>
                <w:sz w:val="24"/>
                <w:szCs w:val="24"/>
              </w:rPr>
              <w:t>,</w:t>
            </w:r>
            <w:r w:rsidRPr="00667940">
              <w:rPr>
                <w:rFonts w:ascii="Times New Roman" w:eastAsia="Times New Roman" w:hAnsi="Times New Roman" w:cs="Times New Roman"/>
                <w:color w:val="222222"/>
                <w:sz w:val="24"/>
                <w:szCs w:val="24"/>
              </w:rPr>
              <w:t>168</w:t>
            </w:r>
          </w:p>
        </w:tc>
      </w:tr>
      <w:tr w:rsidR="00920DE8" w:rsidRPr="00667940" w14:paraId="389972FE" w14:textId="77777777" w:rsidTr="00920DE8">
        <w:trPr>
          <w:trHeight w:val="840"/>
        </w:trPr>
        <w:tc>
          <w:tcPr>
            <w:tcW w:w="986" w:type="pct"/>
            <w:tcBorders>
              <w:top w:val="nil"/>
              <w:left w:val="nil"/>
              <w:bottom w:val="nil"/>
              <w:right w:val="nil"/>
            </w:tcBorders>
            <w:vAlign w:val="center"/>
          </w:tcPr>
          <w:p w14:paraId="044BBF33" w14:textId="77777777" w:rsidR="002547CE" w:rsidRPr="00667940" w:rsidRDefault="0096142E" w:rsidP="009A7241">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Need threat</w:t>
            </w:r>
          </w:p>
          <w:p w14:paraId="68F2C1F8" w14:textId="77777777" w:rsidR="002547CE" w:rsidRPr="00667940" w:rsidRDefault="0096142E" w:rsidP="009A7241">
            <w:pPr>
              <w:keepNext/>
              <w:jc w:val="center"/>
              <w:rPr>
                <w:rFonts w:ascii="Times New Roman" w:eastAsia="Times New Roman" w:hAnsi="Times New Roman" w:cs="Times New Roman"/>
                <w:color w:val="222222"/>
                <w:sz w:val="24"/>
                <w:szCs w:val="24"/>
              </w:rPr>
            </w:pPr>
            <w:r w:rsidRPr="009A7241">
              <w:rPr>
                <w:rFonts w:ascii="Times New Roman" w:eastAsia="Times New Roman" w:hAnsi="Times New Roman" w:cs="Times New Roman"/>
                <w:i/>
                <w:iCs/>
                <w:color w:val="222222"/>
                <w:sz w:val="24"/>
                <w:szCs w:val="24"/>
              </w:rPr>
              <w:t>M</w:t>
            </w:r>
            <w:r w:rsidRPr="00667940">
              <w:rPr>
                <w:rFonts w:ascii="Times New Roman" w:eastAsia="Times New Roman" w:hAnsi="Times New Roman" w:cs="Times New Roman"/>
                <w:color w:val="222222"/>
                <w:sz w:val="24"/>
                <w:szCs w:val="24"/>
              </w:rPr>
              <w:t>(</w:t>
            </w:r>
            <w:r w:rsidRPr="009A7241">
              <w:rPr>
                <w:rFonts w:ascii="Times New Roman" w:eastAsia="Times New Roman" w:hAnsi="Times New Roman" w:cs="Times New Roman"/>
                <w:i/>
                <w:iCs/>
                <w:color w:val="222222"/>
                <w:sz w:val="24"/>
                <w:szCs w:val="24"/>
              </w:rPr>
              <w:t>SD</w:t>
            </w:r>
            <w:r w:rsidRPr="00667940">
              <w:rPr>
                <w:rFonts w:ascii="Times New Roman" w:eastAsia="Times New Roman" w:hAnsi="Times New Roman" w:cs="Times New Roman"/>
                <w:color w:val="222222"/>
                <w:sz w:val="24"/>
                <w:szCs w:val="24"/>
              </w:rPr>
              <w:t>)</w:t>
            </w:r>
          </w:p>
        </w:tc>
        <w:tc>
          <w:tcPr>
            <w:tcW w:w="669" w:type="pct"/>
            <w:tcBorders>
              <w:top w:val="nil"/>
              <w:left w:val="nil"/>
              <w:bottom w:val="nil"/>
              <w:right w:val="nil"/>
            </w:tcBorders>
            <w:vAlign w:val="center"/>
          </w:tcPr>
          <w:p w14:paraId="44083B02"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4.45 (1.38)</w:t>
            </w:r>
          </w:p>
        </w:tc>
        <w:tc>
          <w:tcPr>
            <w:tcW w:w="669" w:type="pct"/>
            <w:tcBorders>
              <w:top w:val="nil"/>
              <w:left w:val="nil"/>
              <w:bottom w:val="nil"/>
              <w:right w:val="nil"/>
            </w:tcBorders>
            <w:vAlign w:val="center"/>
          </w:tcPr>
          <w:p w14:paraId="0ACC957F"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4.43</w:t>
            </w:r>
          </w:p>
          <w:p w14:paraId="658FCD7A"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(1.42)</w:t>
            </w:r>
          </w:p>
        </w:tc>
        <w:tc>
          <w:tcPr>
            <w:tcW w:w="669" w:type="pct"/>
            <w:tcBorders>
              <w:top w:val="nil"/>
              <w:left w:val="nil"/>
              <w:bottom w:val="nil"/>
              <w:right w:val="nil"/>
            </w:tcBorders>
            <w:vAlign w:val="center"/>
          </w:tcPr>
          <w:p w14:paraId="58CA9ED4"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4.56 (1.44)</w:t>
            </w:r>
          </w:p>
        </w:tc>
        <w:tc>
          <w:tcPr>
            <w:tcW w:w="669" w:type="pct"/>
            <w:tcBorders>
              <w:top w:val="nil"/>
              <w:left w:val="nil"/>
              <w:bottom w:val="nil"/>
              <w:right w:val="nil"/>
            </w:tcBorders>
            <w:vAlign w:val="center"/>
          </w:tcPr>
          <w:p w14:paraId="703C1F3A"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4.72 (1.25)</w:t>
            </w:r>
          </w:p>
        </w:tc>
        <w:tc>
          <w:tcPr>
            <w:tcW w:w="669" w:type="pct"/>
            <w:tcBorders>
              <w:top w:val="nil"/>
              <w:left w:val="nil"/>
              <w:bottom w:val="nil"/>
              <w:right w:val="nil"/>
            </w:tcBorders>
            <w:vAlign w:val="center"/>
          </w:tcPr>
          <w:p w14:paraId="4D86E9B5"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4.68 (1.25)</w:t>
            </w:r>
          </w:p>
        </w:tc>
        <w:tc>
          <w:tcPr>
            <w:tcW w:w="669" w:type="pct"/>
            <w:tcBorders>
              <w:top w:val="nil"/>
              <w:left w:val="nil"/>
              <w:bottom w:val="nil"/>
              <w:right w:val="nil"/>
            </w:tcBorders>
            <w:vAlign w:val="center"/>
          </w:tcPr>
          <w:p w14:paraId="4BC0A57C"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4.54 (1.50)</w:t>
            </w:r>
          </w:p>
        </w:tc>
      </w:tr>
      <w:tr w:rsidR="00920DE8" w:rsidRPr="00667940" w14:paraId="06DB80A3" w14:textId="77777777" w:rsidTr="00920DE8">
        <w:tc>
          <w:tcPr>
            <w:tcW w:w="986" w:type="pct"/>
            <w:tcBorders>
              <w:top w:val="nil"/>
              <w:left w:val="nil"/>
              <w:bottom w:val="single" w:sz="4" w:space="0" w:color="000000"/>
              <w:right w:val="nil"/>
            </w:tcBorders>
            <w:vAlign w:val="center"/>
          </w:tcPr>
          <w:p w14:paraId="71DD5828" w14:textId="77777777" w:rsidR="002547CE" w:rsidRPr="00667940" w:rsidRDefault="0096142E" w:rsidP="009A7241">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 xml:space="preserve">Anger </w:t>
            </w:r>
            <w:r w:rsidRPr="009A7241">
              <w:rPr>
                <w:rFonts w:ascii="Times New Roman" w:eastAsia="Times New Roman" w:hAnsi="Times New Roman" w:cs="Times New Roman"/>
                <w:i/>
                <w:iCs/>
                <w:color w:val="222222"/>
                <w:sz w:val="24"/>
                <w:szCs w:val="24"/>
              </w:rPr>
              <w:t>M</w:t>
            </w:r>
            <w:r w:rsidRPr="00667940">
              <w:rPr>
                <w:rFonts w:ascii="Times New Roman" w:eastAsia="Times New Roman" w:hAnsi="Times New Roman" w:cs="Times New Roman"/>
                <w:color w:val="222222"/>
                <w:sz w:val="24"/>
                <w:szCs w:val="24"/>
              </w:rPr>
              <w:t>(</w:t>
            </w:r>
            <w:r w:rsidRPr="009A7241">
              <w:rPr>
                <w:rFonts w:ascii="Times New Roman" w:eastAsia="Times New Roman" w:hAnsi="Times New Roman" w:cs="Times New Roman"/>
                <w:i/>
                <w:iCs/>
                <w:color w:val="222222"/>
                <w:sz w:val="24"/>
                <w:szCs w:val="24"/>
              </w:rPr>
              <w:t>SD</w:t>
            </w:r>
            <w:r w:rsidRPr="00667940">
              <w:rPr>
                <w:rFonts w:ascii="Times New Roman" w:eastAsia="Times New Roman" w:hAnsi="Times New Roman" w:cs="Times New Roman"/>
                <w:color w:val="222222"/>
                <w:sz w:val="24"/>
                <w:szCs w:val="24"/>
              </w:rPr>
              <w:t>)</w:t>
            </w:r>
          </w:p>
        </w:tc>
        <w:tc>
          <w:tcPr>
            <w:tcW w:w="669" w:type="pct"/>
            <w:tcBorders>
              <w:top w:val="nil"/>
              <w:left w:val="nil"/>
              <w:bottom w:val="single" w:sz="4" w:space="0" w:color="000000"/>
              <w:right w:val="nil"/>
            </w:tcBorders>
            <w:vAlign w:val="center"/>
          </w:tcPr>
          <w:p w14:paraId="538BE739"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2.45 (1.97)</w:t>
            </w:r>
          </w:p>
        </w:tc>
        <w:tc>
          <w:tcPr>
            <w:tcW w:w="669" w:type="pct"/>
            <w:tcBorders>
              <w:top w:val="nil"/>
              <w:left w:val="nil"/>
              <w:bottom w:val="single" w:sz="4" w:space="0" w:color="000000"/>
              <w:right w:val="nil"/>
            </w:tcBorders>
            <w:vAlign w:val="center"/>
          </w:tcPr>
          <w:p w14:paraId="393256BD"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2.52 (2.01)</w:t>
            </w:r>
          </w:p>
        </w:tc>
        <w:tc>
          <w:tcPr>
            <w:tcW w:w="669" w:type="pct"/>
            <w:tcBorders>
              <w:top w:val="nil"/>
              <w:left w:val="nil"/>
              <w:bottom w:val="single" w:sz="4" w:space="0" w:color="000000"/>
              <w:right w:val="nil"/>
            </w:tcBorders>
            <w:vAlign w:val="center"/>
          </w:tcPr>
          <w:p w14:paraId="5B36731D"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2.64 (2.12)</w:t>
            </w:r>
          </w:p>
        </w:tc>
        <w:tc>
          <w:tcPr>
            <w:tcW w:w="669" w:type="pct"/>
            <w:tcBorders>
              <w:top w:val="nil"/>
              <w:left w:val="nil"/>
              <w:bottom w:val="single" w:sz="4" w:space="0" w:color="000000"/>
              <w:right w:val="nil"/>
            </w:tcBorders>
            <w:vAlign w:val="center"/>
          </w:tcPr>
          <w:p w14:paraId="52EB134C"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2.51 (1.89)</w:t>
            </w:r>
          </w:p>
        </w:tc>
        <w:tc>
          <w:tcPr>
            <w:tcW w:w="669" w:type="pct"/>
            <w:tcBorders>
              <w:top w:val="nil"/>
              <w:left w:val="nil"/>
              <w:bottom w:val="single" w:sz="4" w:space="0" w:color="000000"/>
              <w:right w:val="nil"/>
            </w:tcBorders>
            <w:vAlign w:val="center"/>
          </w:tcPr>
          <w:p w14:paraId="1F503CCD"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2.47 (1.90)</w:t>
            </w:r>
          </w:p>
        </w:tc>
        <w:tc>
          <w:tcPr>
            <w:tcW w:w="669" w:type="pct"/>
            <w:tcBorders>
              <w:top w:val="nil"/>
              <w:left w:val="nil"/>
              <w:bottom w:val="single" w:sz="4" w:space="0" w:color="000000"/>
              <w:right w:val="nil"/>
            </w:tcBorders>
            <w:vAlign w:val="center"/>
          </w:tcPr>
          <w:p w14:paraId="6439576B" w14:textId="77777777" w:rsidR="002547CE" w:rsidRPr="00667940" w:rsidRDefault="0096142E">
            <w:pPr>
              <w:keepNext/>
              <w:jc w:val="center"/>
              <w:rPr>
                <w:rFonts w:ascii="Times New Roman" w:eastAsia="Times New Roman" w:hAnsi="Times New Roman" w:cs="Times New Roman"/>
                <w:color w:val="222222"/>
                <w:sz w:val="24"/>
                <w:szCs w:val="24"/>
              </w:rPr>
            </w:pPr>
            <w:r w:rsidRPr="00667940">
              <w:rPr>
                <w:rFonts w:ascii="Times New Roman" w:eastAsia="Times New Roman" w:hAnsi="Times New Roman" w:cs="Times New Roman"/>
                <w:color w:val="222222"/>
                <w:sz w:val="24"/>
                <w:szCs w:val="24"/>
              </w:rPr>
              <w:t>2.77 (2.20)</w:t>
            </w:r>
          </w:p>
        </w:tc>
      </w:tr>
    </w:tbl>
    <w:p w14:paraId="2DE29BBF" w14:textId="77777777"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i/>
          <w:sz w:val="24"/>
          <w:szCs w:val="24"/>
        </w:rPr>
        <w:t xml:space="preserve">Note. </w:t>
      </w:r>
      <w:r w:rsidRPr="00667940">
        <w:rPr>
          <w:rFonts w:ascii="Times New Roman" w:eastAsia="Times New Roman" w:hAnsi="Times New Roman" w:cs="Times New Roman"/>
          <w:sz w:val="24"/>
          <w:szCs w:val="24"/>
        </w:rPr>
        <w:t>#Avatar indicates the avatar number as displayed in the data.</w:t>
      </w:r>
    </w:p>
    <w:p w14:paraId="697DC082" w14:textId="734B4034" w:rsidR="002547CE" w:rsidRPr="00667940" w:rsidRDefault="00501476" w:rsidP="00501476">
      <w:pPr>
        <w:pStyle w:val="Heading3"/>
      </w:pPr>
      <w:bookmarkStart w:id="4" w:name="_ry6b03n6qqsf" w:colFirst="0" w:colLast="0"/>
      <w:bookmarkEnd w:id="4"/>
      <w:r>
        <w:t xml:space="preserve">5.1.4. </w:t>
      </w:r>
      <w:r w:rsidRPr="00667940">
        <w:t>Does group size influence need threat and anger?</w:t>
      </w:r>
    </w:p>
    <w:p w14:paraId="184F1811" w14:textId="40D4608A"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ab/>
        <w:t xml:space="preserve">Participants played the game in groups varying in size between 3 to 6. We investigated whether the size of the group influenced need threat and anger. Group size was statistically </w:t>
      </w:r>
      <w:r w:rsidRPr="00667940">
        <w:rPr>
          <w:rFonts w:ascii="Times New Roman" w:eastAsia="Times New Roman" w:hAnsi="Times New Roman" w:cs="Times New Roman"/>
          <w:sz w:val="24"/>
          <w:szCs w:val="24"/>
        </w:rPr>
        <w:lastRenderedPageBreak/>
        <w:t xml:space="preserve">correlated with overall need threat </w:t>
      </w:r>
      <w:r w:rsidRPr="00667940">
        <w:rPr>
          <w:rFonts w:ascii="Times New Roman" w:eastAsia="Times New Roman" w:hAnsi="Times New Roman" w:cs="Times New Roman"/>
          <w:i/>
          <w:sz w:val="24"/>
          <w:szCs w:val="24"/>
        </w:rPr>
        <w:t xml:space="preserve">r </w:t>
      </w:r>
      <w:r w:rsidRPr="00667940">
        <w:rPr>
          <w:rFonts w:ascii="Times New Roman" w:eastAsia="Times New Roman" w:hAnsi="Times New Roman" w:cs="Times New Roman"/>
          <w:sz w:val="24"/>
          <w:szCs w:val="24"/>
        </w:rPr>
        <w:t xml:space="preserve">= -.027, </w:t>
      </w:r>
      <w:r w:rsidRPr="00667940">
        <w:rPr>
          <w:rFonts w:ascii="Times New Roman" w:eastAsia="Times New Roman" w:hAnsi="Times New Roman" w:cs="Times New Roman"/>
          <w:i/>
          <w:sz w:val="24"/>
          <w:szCs w:val="24"/>
        </w:rPr>
        <w:t xml:space="preserve">p </w:t>
      </w:r>
      <w:r w:rsidRPr="00667940">
        <w:rPr>
          <w:rFonts w:ascii="Times New Roman" w:eastAsia="Times New Roman" w:hAnsi="Times New Roman" w:cs="Times New Roman"/>
          <w:sz w:val="24"/>
          <w:szCs w:val="24"/>
        </w:rPr>
        <w:t xml:space="preserve">= .001, and anger, </w:t>
      </w:r>
      <w:r w:rsidRPr="00667940">
        <w:rPr>
          <w:rFonts w:ascii="Times New Roman" w:eastAsia="Times New Roman" w:hAnsi="Times New Roman" w:cs="Times New Roman"/>
          <w:i/>
          <w:sz w:val="24"/>
          <w:szCs w:val="24"/>
        </w:rPr>
        <w:t xml:space="preserve">r </w:t>
      </w:r>
      <w:r w:rsidRPr="00667940">
        <w:rPr>
          <w:rFonts w:ascii="Times New Roman" w:eastAsia="Times New Roman" w:hAnsi="Times New Roman" w:cs="Times New Roman"/>
          <w:sz w:val="24"/>
          <w:szCs w:val="24"/>
        </w:rPr>
        <w:t xml:space="preserve">= -.018, </w:t>
      </w:r>
      <w:r w:rsidRPr="00667940">
        <w:rPr>
          <w:rFonts w:ascii="Times New Roman" w:eastAsia="Times New Roman" w:hAnsi="Times New Roman" w:cs="Times New Roman"/>
          <w:i/>
          <w:sz w:val="24"/>
          <w:szCs w:val="24"/>
        </w:rPr>
        <w:t xml:space="preserve">p </w:t>
      </w:r>
      <w:r w:rsidRPr="00667940">
        <w:rPr>
          <w:rFonts w:ascii="Times New Roman" w:eastAsia="Times New Roman" w:hAnsi="Times New Roman" w:cs="Times New Roman"/>
          <w:sz w:val="24"/>
          <w:szCs w:val="24"/>
        </w:rPr>
        <w:t xml:space="preserve">= .03. Yet, </w:t>
      </w:r>
      <w:r w:rsidR="00667940" w:rsidRPr="00667940">
        <w:rPr>
          <w:rFonts w:ascii="Times New Roman" w:eastAsia="Times New Roman" w:hAnsi="Times New Roman" w:cs="Times New Roman"/>
          <w:sz w:val="24"/>
          <w:szCs w:val="24"/>
        </w:rPr>
        <w:t>like</w:t>
      </w:r>
      <w:r w:rsidRPr="00667940">
        <w:rPr>
          <w:rFonts w:ascii="Times New Roman" w:eastAsia="Times New Roman" w:hAnsi="Times New Roman" w:cs="Times New Roman"/>
          <w:sz w:val="24"/>
          <w:szCs w:val="24"/>
        </w:rPr>
        <w:t xml:space="preserve"> other cross-cutting variables we investigated, the size of the effect was again lower than our practical relevance threshold (</w:t>
      </w:r>
      <w:r w:rsidRPr="00667940">
        <w:rPr>
          <w:rFonts w:ascii="Times New Roman" w:eastAsia="Times New Roman" w:hAnsi="Times New Roman" w:cs="Times New Roman"/>
          <w:i/>
          <w:sz w:val="24"/>
          <w:szCs w:val="24"/>
        </w:rPr>
        <w:t xml:space="preserve">r </w:t>
      </w:r>
      <w:r w:rsidRPr="00667940">
        <w:rPr>
          <w:rFonts w:ascii="Times New Roman" w:eastAsia="Times New Roman" w:hAnsi="Times New Roman" w:cs="Times New Roman"/>
          <w:sz w:val="24"/>
          <w:szCs w:val="24"/>
        </w:rPr>
        <w:t>= .20). Hence, we conclude that group size is not relevant for need threat and anger in this sample.</w:t>
      </w:r>
    </w:p>
    <w:p w14:paraId="2D5AF9AD" w14:textId="5E76288D" w:rsidR="002547CE" w:rsidRPr="00667940" w:rsidRDefault="00501476" w:rsidP="00501476">
      <w:pPr>
        <w:pStyle w:val="Heading2"/>
      </w:pPr>
      <w:bookmarkStart w:id="5" w:name="_o7soz9s3p2o7" w:colFirst="0" w:colLast="0"/>
      <w:bookmarkEnd w:id="5"/>
      <w:r>
        <w:t xml:space="preserve">5.2. </w:t>
      </w:r>
      <w:r w:rsidRPr="00667940">
        <w:t>Discussion of Cross-Cutting Factors</w:t>
      </w:r>
    </w:p>
    <w:p w14:paraId="16292FDA" w14:textId="4140A142"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Finally, as a side goal we tested the assumption of Temporal Need-Threat Model of Ostracism </w:t>
      </w:r>
      <w:r w:rsidR="008C6D5E">
        <w:rPr>
          <w:rFonts w:ascii="Times New Roman" w:hAnsi="Times New Roman" w:cs="Times New Roman"/>
          <w:sz w:val="24"/>
          <w:szCs w:val="24"/>
        </w:rPr>
        <w:t>(Williams, 2009)</w:t>
      </w:r>
      <w:r w:rsidRPr="00667940">
        <w:rPr>
          <w:rFonts w:ascii="Times New Roman" w:eastAsia="Times New Roman" w:hAnsi="Times New Roman" w:cs="Times New Roman"/>
          <w:sz w:val="24"/>
          <w:szCs w:val="24"/>
        </w:rPr>
        <w:t xml:space="preserve"> that the immediate hurt of social exclusion is impervious to cross-cutting variables. Put differently, this model would assume that age, gender, group size and avatar choice should not moderate experienced need threat and anger. Our analyses provide mixed support for this core assumption. One the one hand, we provide statistical evidence that age, </w:t>
      </w:r>
      <w:proofErr w:type="gramStart"/>
      <w:r w:rsidRPr="00667940">
        <w:rPr>
          <w:rFonts w:ascii="Times New Roman" w:eastAsia="Times New Roman" w:hAnsi="Times New Roman" w:cs="Times New Roman"/>
          <w:sz w:val="24"/>
          <w:szCs w:val="24"/>
        </w:rPr>
        <w:t>gender</w:t>
      </w:r>
      <w:proofErr w:type="gramEnd"/>
      <w:r w:rsidRPr="00667940">
        <w:rPr>
          <w:rFonts w:ascii="Times New Roman" w:eastAsia="Times New Roman" w:hAnsi="Times New Roman" w:cs="Times New Roman"/>
          <w:sz w:val="24"/>
          <w:szCs w:val="24"/>
        </w:rPr>
        <w:t xml:space="preserve"> and avatar choice did moderate need threat (but not anger). However, the crucial issue here is that we had a very large sample, and that it thus important to account for that and thus rely on </w:t>
      </w:r>
      <w:r w:rsidR="00667940" w:rsidRPr="00667940">
        <w:rPr>
          <w:rFonts w:ascii="Times New Roman" w:eastAsia="Times New Roman" w:hAnsi="Times New Roman" w:cs="Times New Roman"/>
          <w:sz w:val="24"/>
          <w:szCs w:val="24"/>
        </w:rPr>
        <w:t>whether</w:t>
      </w:r>
      <w:r w:rsidRPr="00667940">
        <w:rPr>
          <w:rFonts w:ascii="Times New Roman" w:eastAsia="Times New Roman" w:hAnsi="Times New Roman" w:cs="Times New Roman"/>
          <w:sz w:val="24"/>
          <w:szCs w:val="24"/>
        </w:rPr>
        <w:t xml:space="preserve"> an effect has practical relevance instead of relying solely on the resulting </w:t>
      </w:r>
      <w:r w:rsidRPr="00667940">
        <w:rPr>
          <w:rFonts w:ascii="Times New Roman" w:eastAsia="Times New Roman" w:hAnsi="Times New Roman" w:cs="Times New Roman"/>
          <w:i/>
          <w:sz w:val="24"/>
          <w:szCs w:val="24"/>
        </w:rPr>
        <w:t xml:space="preserve">p </w:t>
      </w:r>
      <w:r w:rsidRPr="00667940">
        <w:rPr>
          <w:rFonts w:ascii="Times New Roman" w:eastAsia="Times New Roman" w:hAnsi="Times New Roman" w:cs="Times New Roman"/>
          <w:sz w:val="24"/>
          <w:szCs w:val="24"/>
        </w:rPr>
        <w:t xml:space="preserve">values. From this perspective, the core assumption of the model is supported as neither age or gender, group size, or avatar choice moderated need threat or anger at the level it becomes practically relevant, a Cohen’s </w:t>
      </w:r>
      <w:r w:rsidRPr="00667940">
        <w:rPr>
          <w:rFonts w:ascii="Times New Roman" w:eastAsia="Times New Roman" w:hAnsi="Times New Roman" w:cs="Times New Roman"/>
          <w:i/>
          <w:sz w:val="24"/>
          <w:szCs w:val="24"/>
        </w:rPr>
        <w:t xml:space="preserve">d </w:t>
      </w:r>
      <w:r w:rsidRPr="00667940">
        <w:rPr>
          <w:rFonts w:ascii="Times New Roman" w:eastAsia="Times New Roman" w:hAnsi="Times New Roman" w:cs="Times New Roman"/>
          <w:sz w:val="24"/>
          <w:szCs w:val="24"/>
        </w:rPr>
        <w:t>= .41</w:t>
      </w:r>
      <w:r w:rsidRPr="00667940">
        <w:rPr>
          <w:rFonts w:ascii="Times New Roman" w:eastAsia="Times New Roman" w:hAnsi="Times New Roman" w:cs="Times New Roman"/>
          <w:i/>
          <w:sz w:val="24"/>
          <w:szCs w:val="24"/>
        </w:rPr>
        <w:t>,</w:t>
      </w:r>
      <w:r w:rsidRPr="00667940">
        <w:rPr>
          <w:rFonts w:ascii="Times New Roman" w:eastAsia="Times New Roman" w:hAnsi="Times New Roman" w:cs="Times New Roman"/>
          <w:sz w:val="24"/>
          <w:szCs w:val="24"/>
        </w:rPr>
        <w:t xml:space="preserve"> </w:t>
      </w:r>
      <w:r w:rsidRPr="00667940">
        <w:rPr>
          <w:rFonts w:ascii="Times New Roman" w:eastAsia="Times New Roman" w:hAnsi="Times New Roman" w:cs="Times New Roman"/>
          <w:i/>
          <w:sz w:val="24"/>
          <w:szCs w:val="24"/>
        </w:rPr>
        <w:t>r</w:t>
      </w:r>
      <w:r w:rsidRPr="00667940">
        <w:rPr>
          <w:rFonts w:ascii="Times New Roman" w:eastAsia="Times New Roman" w:hAnsi="Times New Roman" w:cs="Times New Roman"/>
          <w:sz w:val="24"/>
          <w:szCs w:val="24"/>
        </w:rPr>
        <w:t xml:space="preserve"> = .20 </w:t>
      </w:r>
      <w:r w:rsidR="008C6D5E">
        <w:rPr>
          <w:rFonts w:ascii="Times New Roman" w:hAnsi="Times New Roman" w:cs="Times New Roman"/>
          <w:sz w:val="24"/>
          <w:szCs w:val="24"/>
        </w:rPr>
        <w:t>(Ferguson, 2009)</w:t>
      </w:r>
      <w:r w:rsidRPr="00667940">
        <w:rPr>
          <w:rFonts w:ascii="Times New Roman" w:eastAsia="Times New Roman" w:hAnsi="Times New Roman" w:cs="Times New Roman"/>
          <w:sz w:val="24"/>
          <w:szCs w:val="24"/>
        </w:rPr>
        <w:t>.</w:t>
      </w:r>
    </w:p>
    <w:p w14:paraId="451D750B" w14:textId="3E0BBD0C" w:rsidR="002547CE" w:rsidRPr="00873FFF" w:rsidRDefault="0096142E">
      <w:pPr>
        <w:spacing w:line="480" w:lineRule="auto"/>
        <w:ind w:firstLine="720"/>
        <w:rPr>
          <w:rFonts w:ascii="Times New Roman" w:eastAsia="Times New Roman" w:hAnsi="Times New Roman" w:cs="Times New Roman"/>
          <w:sz w:val="24"/>
          <w:szCs w:val="24"/>
          <w:lang w:val="en-US"/>
        </w:rPr>
      </w:pPr>
      <w:r w:rsidRPr="00667940">
        <w:rPr>
          <w:rFonts w:ascii="Times New Roman" w:eastAsia="Times New Roman" w:hAnsi="Times New Roman" w:cs="Times New Roman"/>
          <w:sz w:val="24"/>
          <w:szCs w:val="24"/>
        </w:rPr>
        <w:t xml:space="preserve">Should practitioners not care about these cross-cutting variables? We recommend otherwise. There is previous work that relies on a broader operationalization of both social exclusion (e.g., peer rejection) and reactions to social exclusion (e.g., distress or delayed responses) that shows moderation effects of variables such as age and gender </w:t>
      </w:r>
      <w:r w:rsidR="008C6D5E">
        <w:rPr>
          <w:rFonts w:ascii="Times New Roman" w:hAnsi="Times New Roman" w:cs="Times New Roman"/>
          <w:sz w:val="24"/>
          <w:szCs w:val="24"/>
        </w:rPr>
        <w:t>(</w:t>
      </w:r>
      <w:proofErr w:type="spellStart"/>
      <w:r w:rsidR="008C6D5E">
        <w:rPr>
          <w:rFonts w:ascii="Times New Roman" w:hAnsi="Times New Roman" w:cs="Times New Roman"/>
          <w:sz w:val="24"/>
          <w:szCs w:val="24"/>
        </w:rPr>
        <w:t>Beeri</w:t>
      </w:r>
      <w:proofErr w:type="spellEnd"/>
      <w:r w:rsidR="008C6D5E">
        <w:rPr>
          <w:rFonts w:ascii="Times New Roman" w:hAnsi="Times New Roman" w:cs="Times New Roman"/>
          <w:sz w:val="24"/>
          <w:szCs w:val="24"/>
        </w:rPr>
        <w:t xml:space="preserve"> &amp; Lev-Wiesel, 2012; Reijntjes et al., 2006)</w:t>
      </w:r>
      <w:r w:rsidRPr="00667940">
        <w:rPr>
          <w:rFonts w:ascii="Times New Roman" w:eastAsia="Times New Roman" w:hAnsi="Times New Roman" w:cs="Times New Roman"/>
          <w:sz w:val="24"/>
          <w:szCs w:val="24"/>
        </w:rPr>
        <w:t xml:space="preserve">. In the current paper we acknowledge these inconsistencies in the literature with regards to how people feel about social exclusion depending on certain characteristics. At the same time, we do not see this inconsistency in prior findings as a problem. </w:t>
      </w:r>
      <w:r w:rsidRPr="00667940">
        <w:rPr>
          <w:rFonts w:ascii="Times New Roman" w:eastAsia="Times New Roman" w:hAnsi="Times New Roman" w:cs="Times New Roman"/>
          <w:sz w:val="24"/>
          <w:szCs w:val="24"/>
        </w:rPr>
        <w:lastRenderedPageBreak/>
        <w:t xml:space="preserve">After all, the training program does not only assess the immediate hurt, but it also includes a moment to actively discuss what happened to participants. This discussion is thus more attuned to reflection and prior research has provided consistent findings that upon reflection key cross-cutting variables to impact how people cope with the initial hurt of ostracism </w:t>
      </w:r>
      <w:r w:rsidR="008C6D5E" w:rsidRPr="00873FFF">
        <w:rPr>
          <w:rFonts w:ascii="Times New Roman" w:hAnsi="Times New Roman" w:cs="Times New Roman"/>
          <w:sz w:val="24"/>
          <w:szCs w:val="24"/>
          <w:lang w:val="en-US"/>
        </w:rPr>
        <w:t>(e.g., Hartgerink et al., 2015; Ren et al., 2013; Yaakobi et al., 2021; Zadro et al., 2006)</w:t>
      </w:r>
      <w:r w:rsidRPr="00873FFF">
        <w:rPr>
          <w:rFonts w:ascii="Times New Roman" w:eastAsia="Times New Roman" w:hAnsi="Times New Roman" w:cs="Times New Roman"/>
          <w:sz w:val="24"/>
          <w:szCs w:val="24"/>
          <w:lang w:val="en-US"/>
        </w:rPr>
        <w:t xml:space="preserve">. </w:t>
      </w:r>
      <w:r w:rsidRPr="00667940">
        <w:rPr>
          <w:rFonts w:ascii="Times New Roman" w:eastAsia="Times New Roman" w:hAnsi="Times New Roman" w:cs="Times New Roman"/>
          <w:sz w:val="24"/>
          <w:szCs w:val="24"/>
        </w:rPr>
        <w:t xml:space="preserve">In other words, even though our analysis supports the Temporal Model of Ostracism </w:t>
      </w:r>
      <w:r w:rsidR="008C6D5E">
        <w:rPr>
          <w:rFonts w:ascii="Times New Roman" w:hAnsi="Times New Roman" w:cs="Times New Roman"/>
          <w:sz w:val="24"/>
          <w:szCs w:val="24"/>
        </w:rPr>
        <w:t>(Williams, 2009)</w:t>
      </w:r>
      <w:r w:rsidRPr="00667940">
        <w:rPr>
          <w:rFonts w:ascii="Times New Roman" w:eastAsia="Times New Roman" w:hAnsi="Times New Roman" w:cs="Times New Roman"/>
          <w:sz w:val="24"/>
          <w:szCs w:val="24"/>
        </w:rPr>
        <w:t xml:space="preserve"> that the initial hurt is not substantially altered by cross-cutting variables, it is quite likely that they might when people are reflecting upon the experience. We thus recommend that, within the context of this program, the feeling of exclusion induced by the ball-tossing game should only be used as a </w:t>
      </w:r>
      <w:r w:rsidR="00667940" w:rsidRPr="00667940">
        <w:rPr>
          <w:rFonts w:ascii="Times New Roman" w:eastAsia="Times New Roman" w:hAnsi="Times New Roman" w:cs="Times New Roman"/>
          <w:sz w:val="24"/>
          <w:szCs w:val="24"/>
        </w:rPr>
        <w:t>steppingstone</w:t>
      </w:r>
      <w:r w:rsidRPr="00667940">
        <w:rPr>
          <w:rFonts w:ascii="Times New Roman" w:eastAsia="Times New Roman" w:hAnsi="Times New Roman" w:cs="Times New Roman"/>
          <w:sz w:val="24"/>
          <w:szCs w:val="24"/>
        </w:rPr>
        <w:t xml:space="preserve"> for future discussion. We suggest that when building upon these feelings of exclusion practitioners or researchers can think about the different ways in which this program can be adapted to the specific needs and characteristics of their target population. More specifically, we recommend relying on the large body of work investigating how people experience social exclusion or other relevant experiences </w:t>
      </w:r>
      <w:r w:rsidR="008C6D5E">
        <w:rPr>
          <w:rFonts w:ascii="Times New Roman" w:hAnsi="Times New Roman" w:cs="Times New Roman"/>
          <w:sz w:val="24"/>
          <w:szCs w:val="24"/>
        </w:rPr>
        <w:t>(e.g., Smart Richman &amp; Leary, 2009; Wesselmann et al., 2016)</w:t>
      </w:r>
      <w:r w:rsidRPr="00667940">
        <w:rPr>
          <w:rFonts w:ascii="Times New Roman" w:eastAsia="Times New Roman" w:hAnsi="Times New Roman" w:cs="Times New Roman"/>
          <w:sz w:val="24"/>
          <w:szCs w:val="24"/>
        </w:rPr>
        <w:t xml:space="preserve"> based on their identity or group membership to enrich the program and make it more useful for their special use case </w:t>
      </w:r>
      <w:r w:rsidR="008C6D5E" w:rsidRPr="00873FFF">
        <w:rPr>
          <w:rFonts w:ascii="Times New Roman" w:hAnsi="Times New Roman" w:cs="Times New Roman"/>
          <w:sz w:val="24"/>
          <w:szCs w:val="24"/>
          <w:lang w:val="en-US"/>
        </w:rPr>
        <w:t>(e.g., Beeri &amp; Lev-Wiesel, 2012; DeSouza et al., 2017, 2019; Goodwin et al., 2010; Hawes et al., 2012; Killen &amp; Stangor, 2001; London et al., 2012; Lopez &amp; DuBois, 2005; Mendoza-Denton et al., 2002)</w:t>
      </w:r>
      <w:r w:rsidRPr="00873FFF">
        <w:rPr>
          <w:rFonts w:ascii="Times New Roman" w:eastAsia="Times New Roman" w:hAnsi="Times New Roman" w:cs="Times New Roman"/>
          <w:sz w:val="24"/>
          <w:szCs w:val="24"/>
          <w:lang w:val="en-US"/>
        </w:rPr>
        <w:t>.</w:t>
      </w:r>
    </w:p>
    <w:p w14:paraId="161FFF57" w14:textId="593C6095"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We would like to draw the reader’s attention to the results pertaining to the gender factor to illustrate a point. In the current work, the effect of gender on need threat (</w:t>
      </w:r>
      <w:r w:rsidRPr="00667940">
        <w:rPr>
          <w:rFonts w:ascii="Times New Roman" w:eastAsia="Times New Roman" w:hAnsi="Times New Roman" w:cs="Times New Roman"/>
          <w:i/>
          <w:sz w:val="24"/>
          <w:szCs w:val="24"/>
        </w:rPr>
        <w:t xml:space="preserve">d </w:t>
      </w:r>
      <w:r w:rsidRPr="00667940">
        <w:rPr>
          <w:rFonts w:ascii="Times New Roman" w:eastAsia="Times New Roman" w:hAnsi="Times New Roman" w:cs="Times New Roman"/>
          <w:sz w:val="24"/>
          <w:szCs w:val="24"/>
        </w:rPr>
        <w:t>= -.20) fell below our threshold (</w:t>
      </w:r>
      <w:r w:rsidRPr="00667940">
        <w:rPr>
          <w:rFonts w:ascii="Times New Roman" w:eastAsia="Times New Roman" w:hAnsi="Times New Roman" w:cs="Times New Roman"/>
          <w:i/>
          <w:sz w:val="24"/>
          <w:szCs w:val="24"/>
        </w:rPr>
        <w:t xml:space="preserve">d </w:t>
      </w:r>
      <w:r w:rsidRPr="00667940">
        <w:rPr>
          <w:rFonts w:ascii="Times New Roman" w:eastAsia="Times New Roman" w:hAnsi="Times New Roman" w:cs="Times New Roman"/>
          <w:sz w:val="24"/>
          <w:szCs w:val="24"/>
        </w:rPr>
        <w:t xml:space="preserve">= .41) of practical relevance. Yet scholars have urged other scholars to not use these thresholds very strictly, and instead asked them to consider the context and the methodology of any project while making decisions surrounding practical relevance and </w:t>
      </w:r>
      <w:r w:rsidRPr="00667940">
        <w:rPr>
          <w:rFonts w:ascii="Times New Roman" w:eastAsia="Times New Roman" w:hAnsi="Times New Roman" w:cs="Times New Roman"/>
          <w:sz w:val="24"/>
          <w:szCs w:val="24"/>
        </w:rPr>
        <w:lastRenderedPageBreak/>
        <w:t xml:space="preserve">significance </w:t>
      </w:r>
      <w:r w:rsidR="008C6D5E">
        <w:rPr>
          <w:rFonts w:ascii="Times New Roman" w:hAnsi="Times New Roman" w:cs="Times New Roman"/>
          <w:sz w:val="24"/>
          <w:szCs w:val="24"/>
        </w:rPr>
        <w:t>(e.g., Ferguson, 2009; Funder &amp; Ozer, 2019)</w:t>
      </w:r>
      <w:r w:rsidRPr="00667940">
        <w:rPr>
          <w:rFonts w:ascii="Times New Roman" w:eastAsia="Times New Roman" w:hAnsi="Times New Roman" w:cs="Times New Roman"/>
          <w:sz w:val="24"/>
          <w:szCs w:val="24"/>
        </w:rPr>
        <w:t xml:space="preserve">. This is relevant given that if one were to decide on a lower threshold for practical relevance </w:t>
      </w:r>
      <w:r w:rsidR="008C6D5E">
        <w:rPr>
          <w:rFonts w:ascii="Times New Roman" w:hAnsi="Times New Roman" w:cs="Times New Roman"/>
          <w:sz w:val="24"/>
          <w:szCs w:val="24"/>
        </w:rPr>
        <w:t>(e.g., Funder &amp; Ozer, 2019)</w:t>
      </w:r>
      <w:r w:rsidRPr="00667940">
        <w:rPr>
          <w:rFonts w:ascii="Times New Roman" w:eastAsia="Times New Roman" w:hAnsi="Times New Roman" w:cs="Times New Roman"/>
          <w:sz w:val="24"/>
          <w:szCs w:val="24"/>
        </w:rPr>
        <w:t xml:space="preserve">, they would have concluded that gender had a significant (and practically relevant) effect on post-game measures. Such inconsistencies are to occur given that the relationship between practical and statistical significance have long been an ongoing debate </w:t>
      </w:r>
      <w:r w:rsidR="008C6D5E">
        <w:rPr>
          <w:rFonts w:ascii="Times New Roman" w:hAnsi="Times New Roman" w:cs="Times New Roman"/>
          <w:sz w:val="24"/>
          <w:szCs w:val="24"/>
        </w:rPr>
        <w:t>(e.g., Ferguson, 2009; Funder &amp; Ozer, 2019)</w:t>
      </w:r>
      <w:r w:rsidRPr="00667940">
        <w:rPr>
          <w:rFonts w:ascii="Times New Roman" w:eastAsia="Times New Roman" w:hAnsi="Times New Roman" w:cs="Times New Roman"/>
          <w:sz w:val="24"/>
          <w:szCs w:val="24"/>
        </w:rPr>
        <w:t xml:space="preserve">. What we aimed to do here was to be transparent about our decision. We hope that this will enable future researchers and practitioners to evaluate the evidential value of our claims and make an informed judgment about our results and interpretations. </w:t>
      </w:r>
    </w:p>
    <w:p w14:paraId="64936600" w14:textId="18C7E8A4" w:rsidR="002547CE" w:rsidRPr="00667940" w:rsidRDefault="0096142E">
      <w:pPr>
        <w:spacing w:line="480" w:lineRule="auto"/>
        <w:ind w:firstLine="720"/>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The non-profit organization designed the game with graphics and avatars with the idea that this would increase the involvement of participants within the game. As rightly pointed out by one of the reviewers of the current </w:t>
      </w:r>
      <w:r w:rsidR="00667940" w:rsidRPr="00667940">
        <w:rPr>
          <w:rFonts w:ascii="Times New Roman" w:eastAsia="Times New Roman" w:hAnsi="Times New Roman" w:cs="Times New Roman"/>
          <w:sz w:val="24"/>
          <w:szCs w:val="24"/>
        </w:rPr>
        <w:t>contribution,</w:t>
      </w:r>
      <w:r w:rsidRPr="00667940">
        <w:rPr>
          <w:rFonts w:ascii="Times New Roman" w:eastAsia="Times New Roman" w:hAnsi="Times New Roman" w:cs="Times New Roman"/>
          <w:sz w:val="24"/>
          <w:szCs w:val="24"/>
        </w:rPr>
        <w:t xml:space="preserve"> however, this could also inadvertently make some participants feel excluded. Even though there is a certain range of avatars included in the game, the number is still relatively small. If a participant felt like none of the avatars represented them well enough, this may have had a negative impact on their involvement with the game, rather than increasing it. In fact, previous work shows that player-avatar identification is positively related to game enjoyment </w:t>
      </w:r>
      <w:r w:rsidR="008C6D5E">
        <w:rPr>
          <w:rFonts w:ascii="Times New Roman" w:hAnsi="Times New Roman" w:cs="Times New Roman"/>
          <w:sz w:val="24"/>
          <w:szCs w:val="24"/>
        </w:rPr>
        <w:t>(</w:t>
      </w:r>
      <w:proofErr w:type="spellStart"/>
      <w:r w:rsidR="008C6D5E">
        <w:rPr>
          <w:rFonts w:ascii="Times New Roman" w:hAnsi="Times New Roman" w:cs="Times New Roman"/>
          <w:sz w:val="24"/>
          <w:szCs w:val="24"/>
        </w:rPr>
        <w:t>Trepte</w:t>
      </w:r>
      <w:proofErr w:type="spellEnd"/>
      <w:r w:rsidR="008C6D5E">
        <w:rPr>
          <w:rFonts w:ascii="Times New Roman" w:hAnsi="Times New Roman" w:cs="Times New Roman"/>
          <w:sz w:val="24"/>
          <w:szCs w:val="24"/>
        </w:rPr>
        <w:t xml:space="preserve"> &amp; Reinecke, 2010)</w:t>
      </w:r>
      <w:r w:rsidRPr="00667940">
        <w:rPr>
          <w:rFonts w:ascii="Times New Roman" w:eastAsia="Times New Roman" w:hAnsi="Times New Roman" w:cs="Times New Roman"/>
          <w:sz w:val="24"/>
          <w:szCs w:val="24"/>
        </w:rPr>
        <w:t xml:space="preserve"> and can positively increase how the game can relate to a person's beliefs in areas </w:t>
      </w:r>
      <w:proofErr w:type="gramStart"/>
      <w:r w:rsidRPr="00667940">
        <w:rPr>
          <w:rFonts w:ascii="Times New Roman" w:eastAsia="Times New Roman" w:hAnsi="Times New Roman" w:cs="Times New Roman"/>
          <w:sz w:val="24"/>
          <w:szCs w:val="24"/>
        </w:rPr>
        <w:t>similar to</w:t>
      </w:r>
      <w:proofErr w:type="gramEnd"/>
      <w:r w:rsidRPr="00667940">
        <w:rPr>
          <w:rFonts w:ascii="Times New Roman" w:eastAsia="Times New Roman" w:hAnsi="Times New Roman" w:cs="Times New Roman"/>
          <w:sz w:val="24"/>
          <w:szCs w:val="24"/>
        </w:rPr>
        <w:t xml:space="preserve"> the content of the game </w:t>
      </w:r>
      <w:r w:rsidR="008C6D5E">
        <w:rPr>
          <w:rFonts w:ascii="Times New Roman" w:hAnsi="Times New Roman" w:cs="Times New Roman"/>
          <w:sz w:val="24"/>
          <w:szCs w:val="24"/>
        </w:rPr>
        <w:t>(Song &amp; Fox, 2016)</w:t>
      </w:r>
      <w:r w:rsidRPr="00667940">
        <w:rPr>
          <w:rFonts w:ascii="Times New Roman" w:eastAsia="Times New Roman" w:hAnsi="Times New Roman" w:cs="Times New Roman"/>
          <w:sz w:val="24"/>
          <w:szCs w:val="24"/>
        </w:rPr>
        <w:t xml:space="preserve">. This issue pertaining to participants feeling left out due to avatar selection can potentially be resolved in multiple ways. First, future users or developers of paradigms as the one we report on here can include a larger array of avatars or offer more avatar customization features. This can allow participants to feel more identification with their avatars and help practitioners achieve the goals of the programs easier. Alternatively, researchers or practitioners can use programs that do not rely on avatar choice either by using a more minimal version of the ball-tossing game </w:t>
      </w:r>
      <w:r w:rsidR="008C6D5E">
        <w:rPr>
          <w:rFonts w:ascii="Times New Roman" w:hAnsi="Times New Roman" w:cs="Times New Roman"/>
          <w:sz w:val="24"/>
          <w:szCs w:val="24"/>
        </w:rPr>
        <w:lastRenderedPageBreak/>
        <w:t>(Williams &amp; Jarvis, 2006)</w:t>
      </w:r>
      <w:r w:rsidRPr="00667940">
        <w:rPr>
          <w:rFonts w:ascii="Times New Roman" w:eastAsia="Times New Roman" w:hAnsi="Times New Roman" w:cs="Times New Roman"/>
          <w:sz w:val="24"/>
          <w:szCs w:val="24"/>
        </w:rPr>
        <w:t xml:space="preserve">, or relying on paradigms in which participants tap into their own experiences </w:t>
      </w:r>
      <w:r w:rsidR="008C6D5E">
        <w:rPr>
          <w:rFonts w:ascii="Times New Roman" w:hAnsi="Times New Roman" w:cs="Times New Roman"/>
          <w:sz w:val="24"/>
          <w:szCs w:val="24"/>
        </w:rPr>
        <w:t>(such as recalling past instances of social exclusion, Chen et al., 2008)</w:t>
      </w:r>
      <w:r w:rsidRPr="00667940">
        <w:rPr>
          <w:rFonts w:ascii="Times New Roman" w:eastAsia="Times New Roman" w:hAnsi="Times New Roman" w:cs="Times New Roman"/>
          <w:sz w:val="24"/>
          <w:szCs w:val="24"/>
        </w:rPr>
        <w:t xml:space="preserve">, or role-play certain exclusion scenarios </w:t>
      </w:r>
      <w:r w:rsidR="008C6D5E">
        <w:rPr>
          <w:rFonts w:ascii="Times New Roman" w:hAnsi="Times New Roman" w:cs="Times New Roman"/>
          <w:sz w:val="24"/>
          <w:szCs w:val="24"/>
        </w:rPr>
        <w:t>(</w:t>
      </w:r>
      <w:proofErr w:type="spellStart"/>
      <w:r w:rsidR="008C6D5E">
        <w:rPr>
          <w:rFonts w:ascii="Times New Roman" w:hAnsi="Times New Roman" w:cs="Times New Roman"/>
          <w:sz w:val="24"/>
          <w:szCs w:val="24"/>
        </w:rPr>
        <w:t>Zadro</w:t>
      </w:r>
      <w:proofErr w:type="spellEnd"/>
      <w:r w:rsidR="008C6D5E">
        <w:rPr>
          <w:rFonts w:ascii="Times New Roman" w:hAnsi="Times New Roman" w:cs="Times New Roman"/>
          <w:sz w:val="24"/>
          <w:szCs w:val="24"/>
        </w:rPr>
        <w:t xml:space="preserve"> et al., 2005)</w:t>
      </w:r>
      <w:r w:rsidRPr="00667940">
        <w:rPr>
          <w:rFonts w:ascii="Times New Roman" w:eastAsia="Times New Roman" w:hAnsi="Times New Roman" w:cs="Times New Roman"/>
          <w:sz w:val="24"/>
          <w:szCs w:val="24"/>
        </w:rPr>
        <w:t>.</w:t>
      </w:r>
    </w:p>
    <w:p w14:paraId="05BCED16" w14:textId="5759E7DA" w:rsidR="002547CE" w:rsidRPr="00667940" w:rsidRDefault="0096142E" w:rsidP="00CB1471">
      <w:pPr>
        <w:pStyle w:val="Heading1"/>
        <w:numPr>
          <w:ilvl w:val="0"/>
          <w:numId w:val="5"/>
        </w:numPr>
      </w:pPr>
      <w:bookmarkStart w:id="6" w:name="_rtp85qvsuasa" w:colFirst="0" w:colLast="0"/>
      <w:bookmarkEnd w:id="6"/>
      <w:r w:rsidRPr="00667940">
        <w:t>The Original Items Used in The Questionnaires</w:t>
      </w:r>
    </w:p>
    <w:p w14:paraId="3BE02BBA" w14:textId="5189F0A4" w:rsidR="002547CE" w:rsidRPr="00667940" w:rsidRDefault="00CB1471" w:rsidP="00C170E9">
      <w:pPr>
        <w:pStyle w:val="Heading2"/>
        <w:ind w:firstLine="360"/>
      </w:pPr>
      <w:bookmarkStart w:id="7" w:name="_eysokheav05g" w:colFirst="0" w:colLast="0"/>
      <w:bookmarkEnd w:id="7"/>
      <w:r>
        <w:t>6.</w:t>
      </w:r>
      <w:r w:rsidR="00C170E9">
        <w:t>1</w:t>
      </w:r>
      <w:r>
        <w:t xml:space="preserve">. </w:t>
      </w:r>
      <w:r w:rsidRPr="00667940">
        <w:t>Reflection questions / Immediate need satisfaction questions</w:t>
      </w:r>
    </w:p>
    <w:p w14:paraId="21FA4408" w14:textId="77777777" w:rsidR="002547CE" w:rsidRPr="00667940" w:rsidRDefault="0096142E">
      <w:pPr>
        <w:numPr>
          <w:ilvl w:val="0"/>
          <w:numId w:val="4"/>
        </w:numPr>
        <w:spacing w:line="480" w:lineRule="auto"/>
        <w:rPr>
          <w:rFonts w:ascii="Times New Roman" w:eastAsia="Times New Roman" w:hAnsi="Times New Roman" w:cs="Times New Roman"/>
          <w:sz w:val="24"/>
          <w:szCs w:val="24"/>
          <w:lang w:val="nl-NL"/>
        </w:rPr>
      </w:pPr>
      <w:r w:rsidRPr="00667940">
        <w:rPr>
          <w:rFonts w:ascii="Times New Roman" w:eastAsia="Times New Roman" w:hAnsi="Times New Roman" w:cs="Times New Roman"/>
          <w:sz w:val="24"/>
          <w:szCs w:val="24"/>
          <w:lang w:val="nl-NL"/>
        </w:rPr>
        <w:t>Ik had tijdens het spel het gevoel dat ik erbij hoorde (</w:t>
      </w:r>
      <w:r w:rsidRPr="00667940">
        <w:rPr>
          <w:rFonts w:ascii="Times New Roman" w:eastAsia="Times New Roman" w:hAnsi="Times New Roman" w:cs="Times New Roman"/>
          <w:i/>
          <w:sz w:val="24"/>
          <w:szCs w:val="24"/>
          <w:lang w:val="nl-NL"/>
        </w:rPr>
        <w:t xml:space="preserve">I had </w:t>
      </w:r>
      <w:proofErr w:type="spellStart"/>
      <w:r w:rsidRPr="00667940">
        <w:rPr>
          <w:rFonts w:ascii="Times New Roman" w:eastAsia="Times New Roman" w:hAnsi="Times New Roman" w:cs="Times New Roman"/>
          <w:i/>
          <w:sz w:val="24"/>
          <w:szCs w:val="24"/>
          <w:lang w:val="nl-NL"/>
        </w:rPr>
        <w:t>the</w:t>
      </w:r>
      <w:proofErr w:type="spellEnd"/>
      <w:r w:rsidRPr="00667940">
        <w:rPr>
          <w:rFonts w:ascii="Times New Roman" w:eastAsia="Times New Roman" w:hAnsi="Times New Roman" w:cs="Times New Roman"/>
          <w:i/>
          <w:sz w:val="24"/>
          <w:szCs w:val="24"/>
          <w:lang w:val="nl-NL"/>
        </w:rPr>
        <w:t xml:space="preserve"> feeling </w:t>
      </w:r>
      <w:proofErr w:type="spellStart"/>
      <w:r w:rsidRPr="00667940">
        <w:rPr>
          <w:rFonts w:ascii="Times New Roman" w:eastAsia="Times New Roman" w:hAnsi="Times New Roman" w:cs="Times New Roman"/>
          <w:i/>
          <w:sz w:val="24"/>
          <w:szCs w:val="24"/>
          <w:lang w:val="nl-NL"/>
        </w:rPr>
        <w:t>that</w:t>
      </w:r>
      <w:proofErr w:type="spellEnd"/>
      <w:r w:rsidRPr="00667940">
        <w:rPr>
          <w:rFonts w:ascii="Times New Roman" w:eastAsia="Times New Roman" w:hAnsi="Times New Roman" w:cs="Times New Roman"/>
          <w:i/>
          <w:sz w:val="24"/>
          <w:szCs w:val="24"/>
          <w:lang w:val="nl-NL"/>
        </w:rPr>
        <w:t xml:space="preserve"> I was </w:t>
      </w:r>
      <w:proofErr w:type="spellStart"/>
      <w:r w:rsidRPr="00667940">
        <w:rPr>
          <w:rFonts w:ascii="Times New Roman" w:eastAsia="Times New Roman" w:hAnsi="Times New Roman" w:cs="Times New Roman"/>
          <w:i/>
          <w:sz w:val="24"/>
          <w:szCs w:val="24"/>
          <w:lang w:val="nl-NL"/>
        </w:rPr>
        <w:t>belonging</w:t>
      </w:r>
      <w:proofErr w:type="spellEnd"/>
      <w:r w:rsidRPr="00667940">
        <w:rPr>
          <w:rFonts w:ascii="Times New Roman" w:eastAsia="Times New Roman" w:hAnsi="Times New Roman" w:cs="Times New Roman"/>
          <w:i/>
          <w:sz w:val="24"/>
          <w:szCs w:val="24"/>
          <w:lang w:val="nl-NL"/>
        </w:rPr>
        <w:t xml:space="preserve"> </w:t>
      </w:r>
      <w:proofErr w:type="spellStart"/>
      <w:r w:rsidRPr="00667940">
        <w:rPr>
          <w:rFonts w:ascii="Times New Roman" w:eastAsia="Times New Roman" w:hAnsi="Times New Roman" w:cs="Times New Roman"/>
          <w:i/>
          <w:sz w:val="24"/>
          <w:szCs w:val="24"/>
          <w:lang w:val="nl-NL"/>
        </w:rPr>
        <w:t>during</w:t>
      </w:r>
      <w:proofErr w:type="spellEnd"/>
      <w:r w:rsidRPr="00667940">
        <w:rPr>
          <w:rFonts w:ascii="Times New Roman" w:eastAsia="Times New Roman" w:hAnsi="Times New Roman" w:cs="Times New Roman"/>
          <w:i/>
          <w:sz w:val="24"/>
          <w:szCs w:val="24"/>
          <w:lang w:val="nl-NL"/>
        </w:rPr>
        <w:t xml:space="preserve"> </w:t>
      </w:r>
      <w:proofErr w:type="spellStart"/>
      <w:r w:rsidRPr="00667940">
        <w:rPr>
          <w:rFonts w:ascii="Times New Roman" w:eastAsia="Times New Roman" w:hAnsi="Times New Roman" w:cs="Times New Roman"/>
          <w:i/>
          <w:sz w:val="24"/>
          <w:szCs w:val="24"/>
          <w:lang w:val="nl-NL"/>
        </w:rPr>
        <w:t>the</w:t>
      </w:r>
      <w:proofErr w:type="spellEnd"/>
      <w:r w:rsidRPr="00667940">
        <w:rPr>
          <w:rFonts w:ascii="Times New Roman" w:eastAsia="Times New Roman" w:hAnsi="Times New Roman" w:cs="Times New Roman"/>
          <w:i/>
          <w:sz w:val="24"/>
          <w:szCs w:val="24"/>
          <w:lang w:val="nl-NL"/>
        </w:rPr>
        <w:t xml:space="preserve"> game</w:t>
      </w:r>
      <w:r w:rsidRPr="00667940">
        <w:rPr>
          <w:rFonts w:ascii="Times New Roman" w:eastAsia="Times New Roman" w:hAnsi="Times New Roman" w:cs="Times New Roman"/>
          <w:sz w:val="24"/>
          <w:szCs w:val="24"/>
          <w:lang w:val="nl-NL"/>
        </w:rPr>
        <w:t>,).</w:t>
      </w:r>
    </w:p>
    <w:p w14:paraId="1910A8FF" w14:textId="77777777" w:rsidR="002547CE" w:rsidRPr="00667940" w:rsidRDefault="0096142E">
      <w:pPr>
        <w:numPr>
          <w:ilvl w:val="0"/>
          <w:numId w:val="4"/>
        </w:numPr>
        <w:spacing w:line="480" w:lineRule="auto"/>
        <w:rPr>
          <w:rFonts w:ascii="Times New Roman" w:eastAsia="Times New Roman" w:hAnsi="Times New Roman" w:cs="Times New Roman"/>
          <w:sz w:val="24"/>
          <w:szCs w:val="24"/>
          <w:lang w:val="nl-NL"/>
        </w:rPr>
      </w:pPr>
      <w:r w:rsidRPr="00667940">
        <w:rPr>
          <w:rFonts w:ascii="Times New Roman" w:eastAsia="Times New Roman" w:hAnsi="Times New Roman" w:cs="Times New Roman"/>
          <w:sz w:val="24"/>
          <w:szCs w:val="24"/>
          <w:lang w:val="nl-NL"/>
        </w:rPr>
        <w:t>Ik voelde mij onzichtbaar tijdens het spel (</w:t>
      </w:r>
      <w:proofErr w:type="spellStart"/>
      <w:r w:rsidRPr="00667940">
        <w:rPr>
          <w:rFonts w:ascii="Times New Roman" w:eastAsia="Times New Roman" w:hAnsi="Times New Roman" w:cs="Times New Roman"/>
          <w:sz w:val="24"/>
          <w:szCs w:val="24"/>
          <w:lang w:val="nl-NL"/>
        </w:rPr>
        <w:t>During</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game, I </w:t>
      </w:r>
      <w:proofErr w:type="spellStart"/>
      <w:r w:rsidRPr="00667940">
        <w:rPr>
          <w:rFonts w:ascii="Times New Roman" w:eastAsia="Times New Roman" w:hAnsi="Times New Roman" w:cs="Times New Roman"/>
          <w:sz w:val="24"/>
          <w:szCs w:val="24"/>
          <w:lang w:val="nl-NL"/>
        </w:rPr>
        <w:t>felt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invisible</w:t>
      </w:r>
      <w:proofErr w:type="spellEnd"/>
      <w:r w:rsidRPr="00667940">
        <w:rPr>
          <w:rFonts w:ascii="Times New Roman" w:eastAsia="Times New Roman" w:hAnsi="Times New Roman" w:cs="Times New Roman"/>
          <w:sz w:val="24"/>
          <w:szCs w:val="24"/>
          <w:lang w:val="nl-NL"/>
        </w:rPr>
        <w:t>).</w:t>
      </w:r>
    </w:p>
    <w:p w14:paraId="2F2FFA0E" w14:textId="77777777" w:rsidR="002547CE" w:rsidRPr="00667940" w:rsidRDefault="0096142E">
      <w:pPr>
        <w:numPr>
          <w:ilvl w:val="0"/>
          <w:numId w:val="4"/>
        </w:numPr>
        <w:spacing w:line="480" w:lineRule="auto"/>
        <w:rPr>
          <w:rFonts w:ascii="Times New Roman" w:eastAsia="Times New Roman" w:hAnsi="Times New Roman" w:cs="Times New Roman"/>
          <w:sz w:val="24"/>
          <w:szCs w:val="24"/>
          <w:lang w:val="nl-NL"/>
        </w:rPr>
      </w:pPr>
      <w:r w:rsidRPr="00667940">
        <w:rPr>
          <w:rFonts w:ascii="Times New Roman" w:eastAsia="Times New Roman" w:hAnsi="Times New Roman" w:cs="Times New Roman"/>
          <w:sz w:val="24"/>
          <w:szCs w:val="24"/>
          <w:lang w:val="nl-NL"/>
        </w:rPr>
        <w:t>Ik voelde me goed tijdens het spel (</w:t>
      </w:r>
      <w:proofErr w:type="spellStart"/>
      <w:r w:rsidRPr="00667940">
        <w:rPr>
          <w:rFonts w:ascii="Times New Roman" w:eastAsia="Times New Roman" w:hAnsi="Times New Roman" w:cs="Times New Roman"/>
          <w:sz w:val="24"/>
          <w:szCs w:val="24"/>
          <w:lang w:val="nl-NL"/>
        </w:rPr>
        <w:t>During</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game, I </w:t>
      </w:r>
      <w:proofErr w:type="spellStart"/>
      <w:r w:rsidRPr="00667940">
        <w:rPr>
          <w:rFonts w:ascii="Times New Roman" w:eastAsia="Times New Roman" w:hAnsi="Times New Roman" w:cs="Times New Roman"/>
          <w:sz w:val="24"/>
          <w:szCs w:val="24"/>
          <w:lang w:val="nl-NL"/>
        </w:rPr>
        <w:t>felt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good</w:t>
      </w:r>
      <w:proofErr w:type="spellEnd"/>
      <w:r w:rsidRPr="00667940">
        <w:rPr>
          <w:rFonts w:ascii="Times New Roman" w:eastAsia="Times New Roman" w:hAnsi="Times New Roman" w:cs="Times New Roman"/>
          <w:sz w:val="24"/>
          <w:szCs w:val="24"/>
          <w:lang w:val="nl-NL"/>
        </w:rPr>
        <w:t>).</w:t>
      </w:r>
    </w:p>
    <w:p w14:paraId="5E98C67F" w14:textId="77777777" w:rsidR="002547CE" w:rsidRPr="00667940" w:rsidRDefault="0096142E">
      <w:pPr>
        <w:numPr>
          <w:ilvl w:val="0"/>
          <w:numId w:val="4"/>
        </w:numPr>
        <w:spacing w:line="480" w:lineRule="auto"/>
        <w:rPr>
          <w:rFonts w:ascii="Times New Roman" w:eastAsia="Times New Roman" w:hAnsi="Times New Roman" w:cs="Times New Roman"/>
          <w:sz w:val="24"/>
          <w:szCs w:val="24"/>
          <w:lang w:val="nl-NL"/>
        </w:rPr>
      </w:pPr>
      <w:r w:rsidRPr="00667940">
        <w:rPr>
          <w:rFonts w:ascii="Times New Roman" w:eastAsia="Times New Roman" w:hAnsi="Times New Roman" w:cs="Times New Roman"/>
          <w:sz w:val="24"/>
          <w:szCs w:val="24"/>
          <w:lang w:val="nl-NL"/>
        </w:rPr>
        <w:t xml:space="preserve">Ik had het gevoel dat ik de baas was over het spel (I had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feeling </w:t>
      </w:r>
      <w:proofErr w:type="spellStart"/>
      <w:r w:rsidRPr="00667940">
        <w:rPr>
          <w:rFonts w:ascii="Times New Roman" w:eastAsia="Times New Roman" w:hAnsi="Times New Roman" w:cs="Times New Roman"/>
          <w:sz w:val="24"/>
          <w:szCs w:val="24"/>
          <w:lang w:val="nl-NL"/>
        </w:rPr>
        <w:t>that</w:t>
      </w:r>
      <w:proofErr w:type="spellEnd"/>
      <w:r w:rsidRPr="00667940">
        <w:rPr>
          <w:rFonts w:ascii="Times New Roman" w:eastAsia="Times New Roman" w:hAnsi="Times New Roman" w:cs="Times New Roman"/>
          <w:sz w:val="24"/>
          <w:szCs w:val="24"/>
          <w:lang w:val="nl-NL"/>
        </w:rPr>
        <w:t xml:space="preserve"> I was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boss of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game).</w:t>
      </w:r>
    </w:p>
    <w:p w14:paraId="2603E70E" w14:textId="77777777" w:rsidR="002547CE" w:rsidRPr="00667940" w:rsidRDefault="0096142E">
      <w:pPr>
        <w:numPr>
          <w:ilvl w:val="0"/>
          <w:numId w:val="4"/>
        </w:numPr>
        <w:spacing w:line="480" w:lineRule="auto"/>
        <w:rPr>
          <w:rFonts w:ascii="Times New Roman" w:eastAsia="Times New Roman" w:hAnsi="Times New Roman" w:cs="Times New Roman"/>
          <w:sz w:val="24"/>
          <w:szCs w:val="24"/>
          <w:lang w:val="nl-NL"/>
        </w:rPr>
      </w:pPr>
      <w:r w:rsidRPr="00667940">
        <w:rPr>
          <w:rFonts w:ascii="Times New Roman" w:eastAsia="Times New Roman" w:hAnsi="Times New Roman" w:cs="Times New Roman"/>
          <w:sz w:val="24"/>
          <w:szCs w:val="24"/>
          <w:lang w:val="nl-NL"/>
        </w:rPr>
        <w:t>"Ik voelde me boos tijdens het spel (</w:t>
      </w:r>
      <w:proofErr w:type="spellStart"/>
      <w:r w:rsidRPr="00667940">
        <w:rPr>
          <w:rFonts w:ascii="Times New Roman" w:eastAsia="Times New Roman" w:hAnsi="Times New Roman" w:cs="Times New Roman"/>
          <w:sz w:val="24"/>
          <w:szCs w:val="24"/>
          <w:lang w:val="nl-NL"/>
        </w:rPr>
        <w:t>During</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game I </w:t>
      </w:r>
      <w:proofErr w:type="spellStart"/>
      <w:r w:rsidRPr="00667940">
        <w:rPr>
          <w:rFonts w:ascii="Times New Roman" w:eastAsia="Times New Roman" w:hAnsi="Times New Roman" w:cs="Times New Roman"/>
          <w:sz w:val="24"/>
          <w:szCs w:val="24"/>
          <w:lang w:val="nl-NL"/>
        </w:rPr>
        <w:t>felt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angry</w:t>
      </w:r>
      <w:proofErr w:type="spellEnd"/>
      <w:r w:rsidRPr="00667940">
        <w:rPr>
          <w:rFonts w:ascii="Times New Roman" w:eastAsia="Times New Roman" w:hAnsi="Times New Roman" w:cs="Times New Roman"/>
          <w:sz w:val="24"/>
          <w:szCs w:val="24"/>
          <w:lang w:val="nl-NL"/>
        </w:rPr>
        <w:t>).</w:t>
      </w:r>
    </w:p>
    <w:p w14:paraId="7EC3D3A8" w14:textId="730A5066" w:rsidR="002547CE" w:rsidRPr="00667940" w:rsidRDefault="00CB1471" w:rsidP="00C170E9">
      <w:pPr>
        <w:pStyle w:val="Heading2"/>
        <w:ind w:firstLine="360"/>
      </w:pPr>
      <w:bookmarkStart w:id="8" w:name="_9cey9h0mt0i" w:colFirst="0" w:colLast="0"/>
      <w:bookmarkEnd w:id="8"/>
      <w:r>
        <w:t>6.</w:t>
      </w:r>
      <w:r w:rsidR="00C170E9">
        <w:t>2</w:t>
      </w:r>
      <w:r>
        <w:t xml:space="preserve">. </w:t>
      </w:r>
      <w:r w:rsidRPr="00667940">
        <w:t>Discussion statements following the exclusion game</w:t>
      </w:r>
    </w:p>
    <w:p w14:paraId="399BD07D" w14:textId="77777777"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Students use these possible reactions and discuss what they could do in case they witness exclusion. Items are presented in Dutch (in their original form) and the English translations are presented within parentheses.</w:t>
      </w:r>
    </w:p>
    <w:p w14:paraId="299A1A03" w14:textId="77777777" w:rsidR="002547CE" w:rsidRPr="00667940" w:rsidRDefault="0096142E">
      <w:pPr>
        <w:widowControl w:val="0"/>
        <w:numPr>
          <w:ilvl w:val="0"/>
          <w:numId w:val="4"/>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Er </w:t>
      </w:r>
      <w:proofErr w:type="spellStart"/>
      <w:r w:rsidRPr="00667940">
        <w:rPr>
          <w:rFonts w:ascii="Times New Roman" w:eastAsia="Times New Roman" w:hAnsi="Times New Roman" w:cs="Times New Roman"/>
          <w:sz w:val="24"/>
          <w:szCs w:val="24"/>
        </w:rPr>
        <w:t>niet</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aan</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proberen</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te</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denken</w:t>
      </w:r>
      <w:proofErr w:type="spellEnd"/>
      <w:r w:rsidRPr="00667940">
        <w:rPr>
          <w:rFonts w:ascii="Times New Roman" w:eastAsia="Times New Roman" w:hAnsi="Times New Roman" w:cs="Times New Roman"/>
          <w:sz w:val="24"/>
          <w:szCs w:val="24"/>
        </w:rPr>
        <w:t xml:space="preserve"> (You could try not to think about it).</w:t>
      </w:r>
    </w:p>
    <w:p w14:paraId="17E4AD53" w14:textId="77777777" w:rsidR="002547CE" w:rsidRPr="00667940" w:rsidRDefault="0096142E">
      <w:pPr>
        <w:widowControl w:val="0"/>
        <w:numPr>
          <w:ilvl w:val="0"/>
          <w:numId w:val="4"/>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Met </w:t>
      </w:r>
      <w:proofErr w:type="spellStart"/>
      <w:r w:rsidRPr="00667940">
        <w:rPr>
          <w:rFonts w:ascii="Times New Roman" w:eastAsia="Times New Roman" w:hAnsi="Times New Roman" w:cs="Times New Roman"/>
          <w:sz w:val="24"/>
          <w:szCs w:val="24"/>
        </w:rPr>
        <w:t>andere</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mensen</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omgaan</w:t>
      </w:r>
      <w:proofErr w:type="spellEnd"/>
      <w:r w:rsidRPr="00667940">
        <w:rPr>
          <w:rFonts w:ascii="Times New Roman" w:eastAsia="Times New Roman" w:hAnsi="Times New Roman" w:cs="Times New Roman"/>
          <w:sz w:val="24"/>
          <w:szCs w:val="24"/>
        </w:rPr>
        <w:t xml:space="preserve"> (You could simply start hanging out with other people).</w:t>
      </w:r>
    </w:p>
    <w:p w14:paraId="3ADA0086" w14:textId="77777777" w:rsidR="002547CE" w:rsidRPr="00667940" w:rsidRDefault="0096142E">
      <w:pPr>
        <w:widowControl w:val="0"/>
        <w:numPr>
          <w:ilvl w:val="0"/>
          <w:numId w:val="4"/>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Van je </w:t>
      </w:r>
      <w:proofErr w:type="spellStart"/>
      <w:r w:rsidRPr="00667940">
        <w:rPr>
          <w:rFonts w:ascii="Times New Roman" w:eastAsia="Times New Roman" w:hAnsi="Times New Roman" w:cs="Times New Roman"/>
          <w:sz w:val="24"/>
          <w:szCs w:val="24"/>
        </w:rPr>
        <w:t>af</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bijten</w:t>
      </w:r>
      <w:proofErr w:type="spellEnd"/>
      <w:r w:rsidRPr="00667940">
        <w:rPr>
          <w:rFonts w:ascii="Times New Roman" w:eastAsia="Times New Roman" w:hAnsi="Times New Roman" w:cs="Times New Roman"/>
          <w:sz w:val="24"/>
          <w:szCs w:val="24"/>
        </w:rPr>
        <w:t xml:space="preserve"> (You could stick up for yourself).</w:t>
      </w:r>
    </w:p>
    <w:p w14:paraId="5852F76F" w14:textId="77777777" w:rsidR="002547CE" w:rsidRPr="00667940" w:rsidRDefault="0096142E">
      <w:pPr>
        <w:widowControl w:val="0"/>
        <w:numPr>
          <w:ilvl w:val="0"/>
          <w:numId w:val="4"/>
        </w:numPr>
        <w:spacing w:line="480" w:lineRule="auto"/>
        <w:rPr>
          <w:rFonts w:ascii="Times New Roman" w:eastAsia="Times New Roman" w:hAnsi="Times New Roman" w:cs="Times New Roman"/>
          <w:sz w:val="24"/>
          <w:szCs w:val="24"/>
        </w:rPr>
      </w:pPr>
      <w:proofErr w:type="spellStart"/>
      <w:r w:rsidRPr="00667940">
        <w:rPr>
          <w:rFonts w:ascii="Times New Roman" w:eastAsia="Times New Roman" w:hAnsi="Times New Roman" w:cs="Times New Roman"/>
          <w:sz w:val="24"/>
          <w:szCs w:val="24"/>
        </w:rPr>
        <w:t>Hulp</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vragen</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aan</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leerkracht</w:t>
      </w:r>
      <w:proofErr w:type="spellEnd"/>
      <w:r w:rsidRPr="00667940">
        <w:rPr>
          <w:rFonts w:ascii="Times New Roman" w:eastAsia="Times New Roman" w:hAnsi="Times New Roman" w:cs="Times New Roman"/>
          <w:sz w:val="24"/>
          <w:szCs w:val="24"/>
        </w:rPr>
        <w:t>/</w:t>
      </w:r>
      <w:proofErr w:type="spellStart"/>
      <w:r w:rsidRPr="00667940">
        <w:rPr>
          <w:rFonts w:ascii="Times New Roman" w:eastAsia="Times New Roman" w:hAnsi="Times New Roman" w:cs="Times New Roman"/>
          <w:sz w:val="24"/>
          <w:szCs w:val="24"/>
        </w:rPr>
        <w:t>iemand</w:t>
      </w:r>
      <w:proofErr w:type="spellEnd"/>
      <w:r w:rsidRPr="00667940">
        <w:rPr>
          <w:rFonts w:ascii="Times New Roman" w:eastAsia="Times New Roman" w:hAnsi="Times New Roman" w:cs="Times New Roman"/>
          <w:sz w:val="24"/>
          <w:szCs w:val="24"/>
        </w:rPr>
        <w:t xml:space="preserve"> in je </w:t>
      </w:r>
      <w:proofErr w:type="spellStart"/>
      <w:r w:rsidRPr="00667940">
        <w:rPr>
          <w:rFonts w:ascii="Times New Roman" w:eastAsia="Times New Roman" w:hAnsi="Times New Roman" w:cs="Times New Roman"/>
          <w:sz w:val="24"/>
          <w:szCs w:val="24"/>
        </w:rPr>
        <w:t>omgeving</w:t>
      </w:r>
      <w:proofErr w:type="spellEnd"/>
      <w:r w:rsidRPr="00667940">
        <w:rPr>
          <w:rFonts w:ascii="Times New Roman" w:eastAsia="Times New Roman" w:hAnsi="Times New Roman" w:cs="Times New Roman"/>
          <w:sz w:val="24"/>
          <w:szCs w:val="24"/>
        </w:rPr>
        <w:t xml:space="preserve"> (You could ask for help from a teacher/someone around you).</w:t>
      </w:r>
    </w:p>
    <w:p w14:paraId="01EB469A" w14:textId="77777777" w:rsidR="002547CE" w:rsidRPr="00667940" w:rsidRDefault="0096142E">
      <w:pPr>
        <w:widowControl w:val="0"/>
        <w:numPr>
          <w:ilvl w:val="0"/>
          <w:numId w:val="4"/>
        </w:numPr>
        <w:spacing w:line="480" w:lineRule="auto"/>
        <w:rPr>
          <w:rFonts w:ascii="Times New Roman" w:eastAsia="Times New Roman" w:hAnsi="Times New Roman" w:cs="Times New Roman"/>
          <w:sz w:val="24"/>
          <w:szCs w:val="24"/>
        </w:rPr>
      </w:pPr>
      <w:proofErr w:type="spellStart"/>
      <w:r w:rsidRPr="00667940">
        <w:rPr>
          <w:rFonts w:ascii="Times New Roman" w:eastAsia="Times New Roman" w:hAnsi="Times New Roman" w:cs="Times New Roman"/>
          <w:sz w:val="24"/>
          <w:szCs w:val="24"/>
        </w:rPr>
        <w:t>Erover</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praten</w:t>
      </w:r>
      <w:proofErr w:type="spellEnd"/>
      <w:r w:rsidRPr="00667940">
        <w:rPr>
          <w:rFonts w:ascii="Times New Roman" w:eastAsia="Times New Roman" w:hAnsi="Times New Roman" w:cs="Times New Roman"/>
          <w:sz w:val="24"/>
          <w:szCs w:val="24"/>
        </w:rPr>
        <w:t xml:space="preserve"> met </w:t>
      </w:r>
      <w:proofErr w:type="spellStart"/>
      <w:r w:rsidRPr="00667940">
        <w:rPr>
          <w:rFonts w:ascii="Times New Roman" w:eastAsia="Times New Roman" w:hAnsi="Times New Roman" w:cs="Times New Roman"/>
          <w:sz w:val="24"/>
          <w:szCs w:val="24"/>
        </w:rPr>
        <w:t>vrienden</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en</w:t>
      </w:r>
      <w:proofErr w:type="spellEnd"/>
      <w:r w:rsidRPr="00667940">
        <w:rPr>
          <w:rFonts w:ascii="Times New Roman" w:eastAsia="Times New Roman" w:hAnsi="Times New Roman" w:cs="Times New Roman"/>
          <w:sz w:val="24"/>
          <w:szCs w:val="24"/>
        </w:rPr>
        <w:t xml:space="preserve">/of </w:t>
      </w:r>
      <w:proofErr w:type="spellStart"/>
      <w:r w:rsidRPr="00667940">
        <w:rPr>
          <w:rFonts w:ascii="Times New Roman" w:eastAsia="Times New Roman" w:hAnsi="Times New Roman" w:cs="Times New Roman"/>
          <w:sz w:val="24"/>
          <w:szCs w:val="24"/>
        </w:rPr>
        <w:t>ouders</w:t>
      </w:r>
      <w:proofErr w:type="spellEnd"/>
      <w:r w:rsidRPr="00667940">
        <w:rPr>
          <w:rFonts w:ascii="Times New Roman" w:eastAsia="Times New Roman" w:hAnsi="Times New Roman" w:cs="Times New Roman"/>
          <w:sz w:val="24"/>
          <w:szCs w:val="24"/>
        </w:rPr>
        <w:t xml:space="preserve"> (You could talk about it with friends and/or parents).</w:t>
      </w:r>
    </w:p>
    <w:p w14:paraId="363C1455" w14:textId="04A01873" w:rsidR="002547CE" w:rsidRPr="00667940" w:rsidRDefault="0096142E" w:rsidP="00667940">
      <w:pPr>
        <w:widowControl w:val="0"/>
        <w:numPr>
          <w:ilvl w:val="0"/>
          <w:numId w:val="4"/>
        </w:numPr>
        <w:spacing w:line="480" w:lineRule="auto"/>
        <w:rPr>
          <w:rFonts w:ascii="Times New Roman" w:eastAsia="Times New Roman" w:hAnsi="Times New Roman" w:cs="Times New Roman"/>
          <w:sz w:val="24"/>
          <w:szCs w:val="24"/>
        </w:rPr>
      </w:pPr>
      <w:proofErr w:type="spellStart"/>
      <w:r w:rsidRPr="00667940">
        <w:rPr>
          <w:rFonts w:ascii="Times New Roman" w:eastAsia="Times New Roman" w:hAnsi="Times New Roman" w:cs="Times New Roman"/>
          <w:sz w:val="24"/>
          <w:szCs w:val="24"/>
        </w:rPr>
        <w:lastRenderedPageBreak/>
        <w:t>Vragen</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waarom</w:t>
      </w:r>
      <w:proofErr w:type="spellEnd"/>
      <w:r w:rsidRPr="00667940">
        <w:rPr>
          <w:rFonts w:ascii="Times New Roman" w:eastAsia="Times New Roman" w:hAnsi="Times New Roman" w:cs="Times New Roman"/>
          <w:sz w:val="24"/>
          <w:szCs w:val="24"/>
        </w:rPr>
        <w:t xml:space="preserve"> je </w:t>
      </w:r>
      <w:proofErr w:type="spellStart"/>
      <w:r w:rsidRPr="00667940">
        <w:rPr>
          <w:rFonts w:ascii="Times New Roman" w:eastAsia="Times New Roman" w:hAnsi="Times New Roman" w:cs="Times New Roman"/>
          <w:sz w:val="24"/>
          <w:szCs w:val="24"/>
        </w:rPr>
        <w:t>wordt</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buitengesloten</w:t>
      </w:r>
      <w:proofErr w:type="spellEnd"/>
      <w:r w:rsidRPr="00667940">
        <w:rPr>
          <w:rFonts w:ascii="Times New Roman" w:eastAsia="Times New Roman" w:hAnsi="Times New Roman" w:cs="Times New Roman"/>
          <w:sz w:val="24"/>
          <w:szCs w:val="24"/>
        </w:rPr>
        <w:t xml:space="preserve"> (You could ask why you were left out).</w:t>
      </w:r>
    </w:p>
    <w:p w14:paraId="39E4C032" w14:textId="47E044C6" w:rsidR="002547CE" w:rsidRPr="00667940" w:rsidRDefault="00C170E9" w:rsidP="00C170E9">
      <w:pPr>
        <w:pStyle w:val="Heading2"/>
      </w:pPr>
      <w:r>
        <w:t xml:space="preserve"> 6.3. </w:t>
      </w:r>
      <w:r w:rsidRPr="00667940">
        <w:t>Evaluation Questionnaire Items</w:t>
      </w:r>
    </w:p>
    <w:p w14:paraId="17AE044D" w14:textId="77777777" w:rsidR="002547CE" w:rsidRPr="00667940" w:rsidRDefault="0096142E">
      <w:pPr>
        <w:widowControl w:val="0"/>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Items from Table 1 in Dutch (the original version), the English versions are between parentheses).</w:t>
      </w:r>
    </w:p>
    <w:p w14:paraId="09E7B20D" w14:textId="77777777" w:rsidR="002547CE" w:rsidRPr="00667940" w:rsidRDefault="0096142E">
      <w:pPr>
        <w:numPr>
          <w:ilvl w:val="0"/>
          <w:numId w:val="1"/>
        </w:numPr>
        <w:spacing w:line="480" w:lineRule="auto"/>
        <w:rPr>
          <w:rFonts w:ascii="Times New Roman" w:hAnsi="Times New Roman" w:cs="Times New Roman"/>
          <w:sz w:val="24"/>
          <w:szCs w:val="24"/>
          <w:lang w:val="nl-NL"/>
        </w:rPr>
      </w:pPr>
      <w:r w:rsidRPr="00667940">
        <w:rPr>
          <w:rFonts w:ascii="Times New Roman" w:eastAsia="Times New Roman" w:hAnsi="Times New Roman" w:cs="Times New Roman"/>
          <w:sz w:val="24"/>
          <w:szCs w:val="24"/>
          <w:lang w:val="nl-NL"/>
        </w:rPr>
        <w:t xml:space="preserve">Ik ben aan het denken gezet over buitensluiting (I </w:t>
      </w:r>
      <w:proofErr w:type="spellStart"/>
      <w:r w:rsidRPr="00667940">
        <w:rPr>
          <w:rFonts w:ascii="Times New Roman" w:eastAsia="Times New Roman" w:hAnsi="Times New Roman" w:cs="Times New Roman"/>
          <w:sz w:val="24"/>
          <w:szCs w:val="24"/>
          <w:lang w:val="nl-NL"/>
        </w:rPr>
        <w:t>got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to</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think</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about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social</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exclusion</w:t>
      </w:r>
      <w:proofErr w:type="spellEnd"/>
      <w:r w:rsidRPr="00667940">
        <w:rPr>
          <w:rFonts w:ascii="Times New Roman" w:eastAsia="Times New Roman" w:hAnsi="Times New Roman" w:cs="Times New Roman"/>
          <w:sz w:val="24"/>
          <w:szCs w:val="24"/>
          <w:lang w:val="nl-NL"/>
        </w:rPr>
        <w:t>).</w:t>
      </w:r>
    </w:p>
    <w:p w14:paraId="18A6596B" w14:textId="77777777" w:rsidR="002547CE" w:rsidRPr="00667940" w:rsidRDefault="0096142E">
      <w:pPr>
        <w:numPr>
          <w:ilvl w:val="0"/>
          <w:numId w:val="1"/>
        </w:numPr>
        <w:spacing w:line="480" w:lineRule="auto"/>
        <w:rPr>
          <w:rFonts w:ascii="Times New Roman" w:hAnsi="Times New Roman" w:cs="Times New Roman"/>
          <w:sz w:val="24"/>
          <w:szCs w:val="24"/>
          <w:lang w:val="nl-NL"/>
        </w:rPr>
      </w:pPr>
      <w:r w:rsidRPr="00667940">
        <w:rPr>
          <w:rFonts w:ascii="Times New Roman" w:eastAsia="Times New Roman" w:hAnsi="Times New Roman" w:cs="Times New Roman"/>
          <w:sz w:val="24"/>
          <w:szCs w:val="24"/>
          <w:lang w:val="nl-NL"/>
        </w:rPr>
        <w:t xml:space="preserve">Ik heb inzicht gekregen in het effect van buitensluiting (I have </w:t>
      </w:r>
      <w:proofErr w:type="spellStart"/>
      <w:r w:rsidRPr="00667940">
        <w:rPr>
          <w:rFonts w:ascii="Times New Roman" w:eastAsia="Times New Roman" w:hAnsi="Times New Roman" w:cs="Times New Roman"/>
          <w:sz w:val="24"/>
          <w:szCs w:val="24"/>
          <w:lang w:val="nl-NL"/>
        </w:rPr>
        <w:t>gained</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insights</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into</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effect of </w:t>
      </w:r>
      <w:proofErr w:type="spellStart"/>
      <w:r w:rsidRPr="00667940">
        <w:rPr>
          <w:rFonts w:ascii="Times New Roman" w:eastAsia="Times New Roman" w:hAnsi="Times New Roman" w:cs="Times New Roman"/>
          <w:sz w:val="24"/>
          <w:szCs w:val="24"/>
          <w:lang w:val="nl-NL"/>
        </w:rPr>
        <w:t>being</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socially</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excluded</w:t>
      </w:r>
      <w:proofErr w:type="spellEnd"/>
      <w:r w:rsidRPr="00667940">
        <w:rPr>
          <w:rFonts w:ascii="Times New Roman" w:eastAsia="Times New Roman" w:hAnsi="Times New Roman" w:cs="Times New Roman"/>
          <w:sz w:val="24"/>
          <w:szCs w:val="24"/>
          <w:lang w:val="nl-NL"/>
        </w:rPr>
        <w:t>).</w:t>
      </w:r>
    </w:p>
    <w:p w14:paraId="40C1164B" w14:textId="77777777" w:rsidR="002547CE" w:rsidRPr="00667940" w:rsidRDefault="0096142E">
      <w:pPr>
        <w:numPr>
          <w:ilvl w:val="0"/>
          <w:numId w:val="1"/>
        </w:numPr>
        <w:spacing w:line="480" w:lineRule="auto"/>
        <w:rPr>
          <w:rFonts w:ascii="Times New Roman" w:hAnsi="Times New Roman" w:cs="Times New Roman"/>
          <w:sz w:val="24"/>
          <w:szCs w:val="24"/>
          <w:lang w:val="nl-NL"/>
        </w:rPr>
      </w:pPr>
      <w:r w:rsidRPr="00667940">
        <w:rPr>
          <w:rFonts w:ascii="Times New Roman" w:eastAsia="Times New Roman" w:hAnsi="Times New Roman" w:cs="Times New Roman"/>
          <w:sz w:val="24"/>
          <w:szCs w:val="24"/>
          <w:lang w:val="nl-NL"/>
        </w:rPr>
        <w:t xml:space="preserve">Ik heb inzicht gekregen in mijn eigen rol in situaties voor mensen worden buitengesloten (I have </w:t>
      </w:r>
      <w:proofErr w:type="spellStart"/>
      <w:r w:rsidRPr="00667940">
        <w:rPr>
          <w:rFonts w:ascii="Times New Roman" w:eastAsia="Times New Roman" w:hAnsi="Times New Roman" w:cs="Times New Roman"/>
          <w:sz w:val="24"/>
          <w:szCs w:val="24"/>
          <w:lang w:val="nl-NL"/>
        </w:rPr>
        <w:t>gained</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insight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into</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my</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own</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role</w:t>
      </w:r>
      <w:proofErr w:type="spellEnd"/>
      <w:r w:rsidRPr="00667940">
        <w:rPr>
          <w:rFonts w:ascii="Times New Roman" w:eastAsia="Times New Roman" w:hAnsi="Times New Roman" w:cs="Times New Roman"/>
          <w:sz w:val="24"/>
          <w:szCs w:val="24"/>
          <w:lang w:val="nl-NL"/>
        </w:rPr>
        <w:t xml:space="preserve"> in </w:t>
      </w:r>
      <w:proofErr w:type="spellStart"/>
      <w:r w:rsidRPr="00667940">
        <w:rPr>
          <w:rFonts w:ascii="Times New Roman" w:eastAsia="Times New Roman" w:hAnsi="Times New Roman" w:cs="Times New Roman"/>
          <w:sz w:val="24"/>
          <w:szCs w:val="24"/>
          <w:lang w:val="nl-NL"/>
        </w:rPr>
        <w:t>situations</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where</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people</w:t>
      </w:r>
      <w:proofErr w:type="spellEnd"/>
      <w:r w:rsidRPr="00667940">
        <w:rPr>
          <w:rFonts w:ascii="Times New Roman" w:eastAsia="Times New Roman" w:hAnsi="Times New Roman" w:cs="Times New Roman"/>
          <w:sz w:val="24"/>
          <w:szCs w:val="24"/>
          <w:lang w:val="nl-NL"/>
        </w:rPr>
        <w:t xml:space="preserve"> get </w:t>
      </w:r>
      <w:proofErr w:type="spellStart"/>
      <w:r w:rsidRPr="00667940">
        <w:rPr>
          <w:rFonts w:ascii="Times New Roman" w:eastAsia="Times New Roman" w:hAnsi="Times New Roman" w:cs="Times New Roman"/>
          <w:sz w:val="24"/>
          <w:szCs w:val="24"/>
          <w:lang w:val="nl-NL"/>
        </w:rPr>
        <w:t>socially</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excluded</w:t>
      </w:r>
      <w:proofErr w:type="spellEnd"/>
      <w:r w:rsidRPr="00667940">
        <w:rPr>
          <w:rFonts w:ascii="Times New Roman" w:eastAsia="Times New Roman" w:hAnsi="Times New Roman" w:cs="Times New Roman"/>
          <w:sz w:val="24"/>
          <w:szCs w:val="24"/>
          <w:lang w:val="nl-NL"/>
        </w:rPr>
        <w:t xml:space="preserve">). </w:t>
      </w:r>
    </w:p>
    <w:p w14:paraId="4A810C78" w14:textId="77777777" w:rsidR="002547CE" w:rsidRPr="00667940" w:rsidRDefault="0096142E">
      <w:pPr>
        <w:numPr>
          <w:ilvl w:val="0"/>
          <w:numId w:val="1"/>
        </w:numPr>
        <w:spacing w:line="480" w:lineRule="auto"/>
        <w:rPr>
          <w:rFonts w:ascii="Times New Roman" w:hAnsi="Times New Roman" w:cs="Times New Roman"/>
          <w:sz w:val="24"/>
          <w:szCs w:val="24"/>
        </w:rPr>
      </w:pPr>
      <w:r w:rsidRPr="00667940">
        <w:rPr>
          <w:rFonts w:ascii="Times New Roman" w:eastAsia="Times New Roman" w:hAnsi="Times New Roman" w:cs="Times New Roman"/>
          <w:sz w:val="24"/>
          <w:szCs w:val="24"/>
        </w:rPr>
        <w:t xml:space="preserve">De </w:t>
      </w:r>
      <w:proofErr w:type="spellStart"/>
      <w:r w:rsidRPr="00667940">
        <w:rPr>
          <w:rFonts w:ascii="Times New Roman" w:eastAsia="Times New Roman" w:hAnsi="Times New Roman" w:cs="Times New Roman"/>
          <w:sz w:val="24"/>
          <w:szCs w:val="24"/>
        </w:rPr>
        <w:t>nabespreking</w:t>
      </w:r>
      <w:proofErr w:type="spellEnd"/>
      <w:r w:rsidRPr="00667940">
        <w:rPr>
          <w:rFonts w:ascii="Times New Roman" w:eastAsia="Times New Roman" w:hAnsi="Times New Roman" w:cs="Times New Roman"/>
          <w:sz w:val="24"/>
          <w:szCs w:val="24"/>
        </w:rPr>
        <w:t xml:space="preserve"> les was </w:t>
      </w:r>
      <w:proofErr w:type="spellStart"/>
      <w:r w:rsidRPr="00667940">
        <w:rPr>
          <w:rFonts w:ascii="Times New Roman" w:eastAsia="Times New Roman" w:hAnsi="Times New Roman" w:cs="Times New Roman"/>
          <w:sz w:val="24"/>
          <w:szCs w:val="24"/>
        </w:rPr>
        <w:t>leuk</w:t>
      </w:r>
      <w:proofErr w:type="spellEnd"/>
      <w:r w:rsidRPr="00667940">
        <w:rPr>
          <w:rFonts w:ascii="Times New Roman" w:eastAsia="Times New Roman" w:hAnsi="Times New Roman" w:cs="Times New Roman"/>
          <w:sz w:val="24"/>
          <w:szCs w:val="24"/>
        </w:rPr>
        <w:t xml:space="preserve"> (The discussion session was nice).</w:t>
      </w:r>
    </w:p>
    <w:p w14:paraId="53C82D89" w14:textId="77777777" w:rsidR="002547CE" w:rsidRPr="00667940" w:rsidRDefault="0096142E">
      <w:pPr>
        <w:numPr>
          <w:ilvl w:val="0"/>
          <w:numId w:val="1"/>
        </w:numPr>
        <w:spacing w:line="480" w:lineRule="auto"/>
        <w:rPr>
          <w:rFonts w:ascii="Times New Roman" w:hAnsi="Times New Roman" w:cs="Times New Roman"/>
          <w:sz w:val="24"/>
          <w:szCs w:val="24"/>
        </w:rPr>
      </w:pPr>
      <w:r w:rsidRPr="00667940">
        <w:rPr>
          <w:rFonts w:ascii="Times New Roman" w:eastAsia="Times New Roman" w:hAnsi="Times New Roman" w:cs="Times New Roman"/>
          <w:sz w:val="24"/>
          <w:szCs w:val="24"/>
        </w:rPr>
        <w:t xml:space="preserve">De </w:t>
      </w:r>
      <w:proofErr w:type="spellStart"/>
      <w:r w:rsidRPr="00667940">
        <w:rPr>
          <w:rFonts w:ascii="Times New Roman" w:eastAsia="Times New Roman" w:hAnsi="Times New Roman" w:cs="Times New Roman"/>
          <w:sz w:val="24"/>
          <w:szCs w:val="24"/>
        </w:rPr>
        <w:t>nabespreking</w:t>
      </w:r>
      <w:proofErr w:type="spellEnd"/>
      <w:r w:rsidRPr="00667940">
        <w:rPr>
          <w:rFonts w:ascii="Times New Roman" w:eastAsia="Times New Roman" w:hAnsi="Times New Roman" w:cs="Times New Roman"/>
          <w:sz w:val="24"/>
          <w:szCs w:val="24"/>
        </w:rPr>
        <w:t xml:space="preserve"> les was </w:t>
      </w:r>
      <w:proofErr w:type="spellStart"/>
      <w:r w:rsidRPr="00667940">
        <w:rPr>
          <w:rFonts w:ascii="Times New Roman" w:eastAsia="Times New Roman" w:hAnsi="Times New Roman" w:cs="Times New Roman"/>
          <w:sz w:val="24"/>
          <w:szCs w:val="24"/>
        </w:rPr>
        <w:t>nuttig</w:t>
      </w:r>
      <w:proofErr w:type="spellEnd"/>
      <w:r w:rsidRPr="00667940">
        <w:rPr>
          <w:rFonts w:ascii="Times New Roman" w:eastAsia="Times New Roman" w:hAnsi="Times New Roman" w:cs="Times New Roman"/>
          <w:sz w:val="24"/>
          <w:szCs w:val="24"/>
        </w:rPr>
        <w:t xml:space="preserve"> (The discussion session was useful). </w:t>
      </w:r>
    </w:p>
    <w:p w14:paraId="4187C7B9" w14:textId="77777777" w:rsidR="002547CE" w:rsidRPr="00667940" w:rsidRDefault="0096142E">
      <w:pPr>
        <w:numPr>
          <w:ilvl w:val="0"/>
          <w:numId w:val="1"/>
        </w:numPr>
        <w:spacing w:line="480" w:lineRule="auto"/>
        <w:rPr>
          <w:rFonts w:ascii="Times New Roman" w:hAnsi="Times New Roman" w:cs="Times New Roman"/>
          <w:sz w:val="24"/>
          <w:szCs w:val="24"/>
        </w:rPr>
      </w:pPr>
      <w:r w:rsidRPr="00667940">
        <w:rPr>
          <w:rFonts w:ascii="Times New Roman" w:eastAsia="Times New Roman" w:hAnsi="Times New Roman" w:cs="Times New Roman"/>
          <w:sz w:val="24"/>
          <w:szCs w:val="24"/>
        </w:rPr>
        <w:t xml:space="preserve">De </w:t>
      </w:r>
      <w:proofErr w:type="spellStart"/>
      <w:r w:rsidRPr="00667940">
        <w:rPr>
          <w:rFonts w:ascii="Times New Roman" w:eastAsia="Times New Roman" w:hAnsi="Times New Roman" w:cs="Times New Roman"/>
          <w:sz w:val="24"/>
          <w:szCs w:val="24"/>
        </w:rPr>
        <w:t>nabespreking</w:t>
      </w:r>
      <w:proofErr w:type="spellEnd"/>
      <w:r w:rsidRPr="00667940">
        <w:rPr>
          <w:rFonts w:ascii="Times New Roman" w:eastAsia="Times New Roman" w:hAnsi="Times New Roman" w:cs="Times New Roman"/>
          <w:sz w:val="24"/>
          <w:szCs w:val="24"/>
        </w:rPr>
        <w:t xml:space="preserve"> les was </w:t>
      </w:r>
      <w:proofErr w:type="spellStart"/>
      <w:r w:rsidRPr="00667940">
        <w:rPr>
          <w:rFonts w:ascii="Times New Roman" w:eastAsia="Times New Roman" w:hAnsi="Times New Roman" w:cs="Times New Roman"/>
          <w:sz w:val="24"/>
          <w:szCs w:val="24"/>
        </w:rPr>
        <w:t>onzinnig</w:t>
      </w:r>
      <w:proofErr w:type="spellEnd"/>
      <w:r w:rsidRPr="00667940">
        <w:rPr>
          <w:rFonts w:ascii="Times New Roman" w:eastAsia="Times New Roman" w:hAnsi="Times New Roman" w:cs="Times New Roman"/>
          <w:sz w:val="24"/>
          <w:szCs w:val="24"/>
        </w:rPr>
        <w:t xml:space="preserve"> (The discussion session was nonsensical). </w:t>
      </w:r>
    </w:p>
    <w:p w14:paraId="1105CDB7" w14:textId="77777777" w:rsidR="002547CE" w:rsidRPr="00667940" w:rsidRDefault="0096142E">
      <w:pPr>
        <w:numPr>
          <w:ilvl w:val="0"/>
          <w:numId w:val="1"/>
        </w:numPr>
        <w:spacing w:line="480" w:lineRule="auto"/>
        <w:rPr>
          <w:rFonts w:ascii="Times New Roman" w:hAnsi="Times New Roman" w:cs="Times New Roman"/>
          <w:sz w:val="24"/>
          <w:szCs w:val="24"/>
        </w:rPr>
      </w:pPr>
      <w:r w:rsidRPr="00667940">
        <w:rPr>
          <w:rFonts w:ascii="Times New Roman" w:eastAsia="Times New Roman" w:hAnsi="Times New Roman" w:cs="Times New Roman"/>
          <w:sz w:val="24"/>
          <w:szCs w:val="24"/>
        </w:rPr>
        <w:t xml:space="preserve">De </w:t>
      </w:r>
      <w:proofErr w:type="spellStart"/>
      <w:r w:rsidRPr="00667940">
        <w:rPr>
          <w:rFonts w:ascii="Times New Roman" w:eastAsia="Times New Roman" w:hAnsi="Times New Roman" w:cs="Times New Roman"/>
          <w:sz w:val="24"/>
          <w:szCs w:val="24"/>
        </w:rPr>
        <w:t>nabespreking</w:t>
      </w:r>
      <w:proofErr w:type="spellEnd"/>
      <w:r w:rsidRPr="00667940">
        <w:rPr>
          <w:rFonts w:ascii="Times New Roman" w:eastAsia="Times New Roman" w:hAnsi="Times New Roman" w:cs="Times New Roman"/>
          <w:sz w:val="24"/>
          <w:szCs w:val="24"/>
        </w:rPr>
        <w:t xml:space="preserve"> les was </w:t>
      </w:r>
      <w:proofErr w:type="spellStart"/>
      <w:r w:rsidRPr="00667940">
        <w:rPr>
          <w:rFonts w:ascii="Times New Roman" w:eastAsia="Times New Roman" w:hAnsi="Times New Roman" w:cs="Times New Roman"/>
          <w:sz w:val="24"/>
          <w:szCs w:val="24"/>
        </w:rPr>
        <w:t>interessant</w:t>
      </w:r>
      <w:proofErr w:type="spellEnd"/>
      <w:r w:rsidRPr="00667940">
        <w:rPr>
          <w:rFonts w:ascii="Times New Roman" w:eastAsia="Times New Roman" w:hAnsi="Times New Roman" w:cs="Times New Roman"/>
          <w:sz w:val="24"/>
          <w:szCs w:val="24"/>
        </w:rPr>
        <w:t xml:space="preserve"> (The discussion session was interesting). </w:t>
      </w:r>
    </w:p>
    <w:p w14:paraId="26B1A03A" w14:textId="77777777" w:rsidR="002547CE" w:rsidRPr="00667940" w:rsidRDefault="0096142E">
      <w:pPr>
        <w:numPr>
          <w:ilvl w:val="0"/>
          <w:numId w:val="1"/>
        </w:numPr>
        <w:spacing w:line="480" w:lineRule="auto"/>
        <w:rPr>
          <w:rFonts w:ascii="Times New Roman" w:hAnsi="Times New Roman" w:cs="Times New Roman"/>
          <w:sz w:val="24"/>
          <w:szCs w:val="24"/>
        </w:rPr>
      </w:pPr>
      <w:r w:rsidRPr="00667940">
        <w:rPr>
          <w:rFonts w:ascii="Times New Roman" w:eastAsia="Times New Roman" w:hAnsi="Times New Roman" w:cs="Times New Roman"/>
          <w:sz w:val="24"/>
          <w:szCs w:val="24"/>
        </w:rPr>
        <w:t xml:space="preserve">In de </w:t>
      </w:r>
      <w:proofErr w:type="spellStart"/>
      <w:r w:rsidRPr="00667940">
        <w:rPr>
          <w:rFonts w:ascii="Times New Roman" w:eastAsia="Times New Roman" w:hAnsi="Times New Roman" w:cs="Times New Roman"/>
          <w:sz w:val="24"/>
          <w:szCs w:val="24"/>
        </w:rPr>
        <w:t>nabespreking</w:t>
      </w:r>
      <w:proofErr w:type="spellEnd"/>
      <w:r w:rsidRPr="00667940">
        <w:rPr>
          <w:rFonts w:ascii="Times New Roman" w:eastAsia="Times New Roman" w:hAnsi="Times New Roman" w:cs="Times New Roman"/>
          <w:sz w:val="24"/>
          <w:szCs w:val="24"/>
        </w:rPr>
        <w:t xml:space="preserve"> les </w:t>
      </w:r>
      <w:proofErr w:type="spellStart"/>
      <w:r w:rsidRPr="00667940">
        <w:rPr>
          <w:rFonts w:ascii="Times New Roman" w:eastAsia="Times New Roman" w:hAnsi="Times New Roman" w:cs="Times New Roman"/>
          <w:sz w:val="24"/>
          <w:szCs w:val="24"/>
        </w:rPr>
        <w:t>hebben</w:t>
      </w:r>
      <w:proofErr w:type="spellEnd"/>
      <w:r w:rsidRPr="00667940">
        <w:rPr>
          <w:rFonts w:ascii="Times New Roman" w:eastAsia="Times New Roman" w:hAnsi="Times New Roman" w:cs="Times New Roman"/>
          <w:sz w:val="24"/>
          <w:szCs w:val="24"/>
        </w:rPr>
        <w:t xml:space="preserve"> we </w:t>
      </w:r>
      <w:proofErr w:type="spellStart"/>
      <w:r w:rsidRPr="00667940">
        <w:rPr>
          <w:rFonts w:ascii="Times New Roman" w:eastAsia="Times New Roman" w:hAnsi="Times New Roman" w:cs="Times New Roman"/>
          <w:sz w:val="24"/>
          <w:szCs w:val="24"/>
        </w:rPr>
        <w:t>onze</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ervaringen</w:t>
      </w:r>
      <w:proofErr w:type="spellEnd"/>
      <w:r w:rsidRPr="00667940">
        <w:rPr>
          <w:rFonts w:ascii="Times New Roman" w:eastAsia="Times New Roman" w:hAnsi="Times New Roman" w:cs="Times New Roman"/>
          <w:sz w:val="24"/>
          <w:szCs w:val="24"/>
        </w:rPr>
        <w:t xml:space="preserve"> in de containers </w:t>
      </w:r>
      <w:proofErr w:type="spellStart"/>
      <w:r w:rsidRPr="00667940">
        <w:rPr>
          <w:rFonts w:ascii="Times New Roman" w:eastAsia="Times New Roman" w:hAnsi="Times New Roman" w:cs="Times New Roman"/>
          <w:sz w:val="24"/>
          <w:szCs w:val="24"/>
        </w:rPr>
        <w:t>gedeeld</w:t>
      </w:r>
      <w:proofErr w:type="spellEnd"/>
      <w:r w:rsidRPr="00667940">
        <w:rPr>
          <w:rFonts w:ascii="Times New Roman" w:eastAsia="Times New Roman" w:hAnsi="Times New Roman" w:cs="Times New Roman"/>
          <w:sz w:val="24"/>
          <w:szCs w:val="24"/>
        </w:rPr>
        <w:t xml:space="preserve"> (In the discussion session we shared our experiences in the containers). </w:t>
      </w:r>
    </w:p>
    <w:p w14:paraId="075C9423" w14:textId="77777777" w:rsidR="002547CE" w:rsidRPr="00667940" w:rsidRDefault="0096142E">
      <w:pPr>
        <w:numPr>
          <w:ilvl w:val="0"/>
          <w:numId w:val="1"/>
        </w:numPr>
        <w:spacing w:line="480" w:lineRule="auto"/>
        <w:rPr>
          <w:rFonts w:ascii="Times New Roman" w:hAnsi="Times New Roman" w:cs="Times New Roman"/>
          <w:sz w:val="24"/>
          <w:szCs w:val="24"/>
          <w:lang w:val="nl-NL"/>
        </w:rPr>
      </w:pPr>
      <w:r w:rsidRPr="00667940">
        <w:rPr>
          <w:rFonts w:ascii="Times New Roman" w:eastAsia="Times New Roman" w:hAnsi="Times New Roman" w:cs="Times New Roman"/>
          <w:sz w:val="24"/>
          <w:szCs w:val="24"/>
          <w:lang w:val="nl-NL"/>
        </w:rPr>
        <w:t xml:space="preserve">In de nabespreking les hebben we besproken hoe de sfeer in onze klaas is (In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discussion</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session</w:t>
      </w:r>
      <w:proofErr w:type="spellEnd"/>
      <w:r w:rsidRPr="00667940">
        <w:rPr>
          <w:rFonts w:ascii="Times New Roman" w:eastAsia="Times New Roman" w:hAnsi="Times New Roman" w:cs="Times New Roman"/>
          <w:sz w:val="24"/>
          <w:szCs w:val="24"/>
          <w:lang w:val="nl-NL"/>
        </w:rPr>
        <w:t xml:space="preserve"> we </w:t>
      </w:r>
      <w:proofErr w:type="spellStart"/>
      <w:r w:rsidRPr="00667940">
        <w:rPr>
          <w:rFonts w:ascii="Times New Roman" w:eastAsia="Times New Roman" w:hAnsi="Times New Roman" w:cs="Times New Roman"/>
          <w:sz w:val="24"/>
          <w:szCs w:val="24"/>
          <w:lang w:val="nl-NL"/>
        </w:rPr>
        <w:t>discussed</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environment in </w:t>
      </w:r>
      <w:proofErr w:type="spellStart"/>
      <w:r w:rsidRPr="00667940">
        <w:rPr>
          <w:rFonts w:ascii="Times New Roman" w:eastAsia="Times New Roman" w:hAnsi="Times New Roman" w:cs="Times New Roman"/>
          <w:sz w:val="24"/>
          <w:szCs w:val="24"/>
          <w:lang w:val="nl-NL"/>
        </w:rPr>
        <w:t>our</w:t>
      </w:r>
      <w:proofErr w:type="spellEnd"/>
      <w:r w:rsidRPr="00667940">
        <w:rPr>
          <w:rFonts w:ascii="Times New Roman" w:eastAsia="Times New Roman" w:hAnsi="Times New Roman" w:cs="Times New Roman"/>
          <w:sz w:val="24"/>
          <w:szCs w:val="24"/>
          <w:lang w:val="nl-NL"/>
        </w:rPr>
        <w:t xml:space="preserve"> class). </w:t>
      </w:r>
    </w:p>
    <w:p w14:paraId="05ABA5A3" w14:textId="77777777" w:rsidR="002547CE" w:rsidRPr="00667940" w:rsidRDefault="0096142E">
      <w:pPr>
        <w:numPr>
          <w:ilvl w:val="0"/>
          <w:numId w:val="1"/>
        </w:numPr>
        <w:spacing w:line="480" w:lineRule="auto"/>
        <w:rPr>
          <w:rFonts w:ascii="Times New Roman" w:hAnsi="Times New Roman" w:cs="Times New Roman"/>
          <w:sz w:val="24"/>
          <w:szCs w:val="24"/>
          <w:lang w:val="nl-NL"/>
        </w:rPr>
      </w:pPr>
      <w:r w:rsidRPr="00667940">
        <w:rPr>
          <w:rFonts w:ascii="Times New Roman" w:eastAsia="Times New Roman" w:hAnsi="Times New Roman" w:cs="Times New Roman"/>
          <w:sz w:val="24"/>
          <w:szCs w:val="24"/>
          <w:lang w:val="nl-NL"/>
        </w:rPr>
        <w:t xml:space="preserve">In de nabespreking les hebben we (nieuwe) afspraken gemaakt over hoe we met elkaar omgaan (In </w:t>
      </w:r>
      <w:proofErr w:type="spellStart"/>
      <w:r w:rsidRPr="00667940">
        <w:rPr>
          <w:rFonts w:ascii="Times New Roman" w:eastAsia="Times New Roman" w:hAnsi="Times New Roman" w:cs="Times New Roman"/>
          <w:sz w:val="24"/>
          <w:szCs w:val="24"/>
          <w:lang w:val="nl-NL"/>
        </w:rPr>
        <w:t>the</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discussion</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session</w:t>
      </w:r>
      <w:proofErr w:type="spellEnd"/>
      <w:r w:rsidRPr="00667940">
        <w:rPr>
          <w:rFonts w:ascii="Times New Roman" w:eastAsia="Times New Roman" w:hAnsi="Times New Roman" w:cs="Times New Roman"/>
          <w:sz w:val="24"/>
          <w:szCs w:val="24"/>
          <w:lang w:val="nl-NL"/>
        </w:rPr>
        <w:t xml:space="preserve"> we made (new) </w:t>
      </w:r>
      <w:proofErr w:type="spellStart"/>
      <w:r w:rsidRPr="00667940">
        <w:rPr>
          <w:rFonts w:ascii="Times New Roman" w:eastAsia="Times New Roman" w:hAnsi="Times New Roman" w:cs="Times New Roman"/>
          <w:sz w:val="24"/>
          <w:szCs w:val="24"/>
          <w:lang w:val="nl-NL"/>
        </w:rPr>
        <w:t>agreements</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about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how</w:t>
      </w:r>
      <w:proofErr w:type="spellEnd"/>
      <w:r w:rsidRPr="00667940">
        <w:rPr>
          <w:rFonts w:ascii="Times New Roman" w:eastAsia="Times New Roman" w:hAnsi="Times New Roman" w:cs="Times New Roman"/>
          <w:sz w:val="24"/>
          <w:szCs w:val="24"/>
          <w:lang w:val="nl-NL"/>
        </w:rPr>
        <w:t xml:space="preserve"> we </w:t>
      </w:r>
      <w:proofErr w:type="spellStart"/>
      <w:r w:rsidRPr="00667940">
        <w:rPr>
          <w:rFonts w:ascii="Times New Roman" w:eastAsia="Times New Roman" w:hAnsi="Times New Roman" w:cs="Times New Roman"/>
          <w:sz w:val="24"/>
          <w:szCs w:val="24"/>
          <w:lang w:val="nl-NL"/>
        </w:rPr>
        <w:t>treat</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each</w:t>
      </w:r>
      <w:proofErr w:type="spellEnd"/>
      <w:r w:rsidRPr="00667940">
        <w:rPr>
          <w:rFonts w:ascii="Times New Roman" w:eastAsia="Times New Roman" w:hAnsi="Times New Roman" w:cs="Times New Roman"/>
          <w:sz w:val="24"/>
          <w:szCs w:val="24"/>
          <w:lang w:val="nl-NL"/>
        </w:rPr>
        <w:t xml:space="preserve"> </w:t>
      </w:r>
      <w:proofErr w:type="spellStart"/>
      <w:r w:rsidRPr="00667940">
        <w:rPr>
          <w:rFonts w:ascii="Times New Roman" w:eastAsia="Times New Roman" w:hAnsi="Times New Roman" w:cs="Times New Roman"/>
          <w:sz w:val="24"/>
          <w:szCs w:val="24"/>
          <w:lang w:val="nl-NL"/>
        </w:rPr>
        <w:t>other</w:t>
      </w:r>
      <w:proofErr w:type="spellEnd"/>
      <w:r w:rsidRPr="00667940">
        <w:rPr>
          <w:rFonts w:ascii="Times New Roman" w:eastAsia="Times New Roman" w:hAnsi="Times New Roman" w:cs="Times New Roman"/>
          <w:sz w:val="24"/>
          <w:szCs w:val="24"/>
          <w:lang w:val="nl-NL"/>
        </w:rPr>
        <w:t xml:space="preserve">). </w:t>
      </w:r>
    </w:p>
    <w:p w14:paraId="24FE040E" w14:textId="77777777" w:rsidR="002547CE" w:rsidRPr="00667940" w:rsidRDefault="0096142E">
      <w:pPr>
        <w:numPr>
          <w:ilvl w:val="0"/>
          <w:numId w:val="1"/>
        </w:numPr>
        <w:spacing w:line="480" w:lineRule="auto"/>
        <w:rPr>
          <w:rFonts w:ascii="Times New Roman" w:hAnsi="Times New Roman" w:cs="Times New Roman"/>
          <w:sz w:val="24"/>
          <w:szCs w:val="24"/>
        </w:rPr>
      </w:pPr>
      <w:r w:rsidRPr="00667940">
        <w:rPr>
          <w:rFonts w:ascii="Times New Roman" w:eastAsia="Times New Roman" w:hAnsi="Times New Roman" w:cs="Times New Roman"/>
          <w:sz w:val="24"/>
          <w:szCs w:val="24"/>
        </w:rPr>
        <w:t xml:space="preserve">In de </w:t>
      </w:r>
      <w:proofErr w:type="spellStart"/>
      <w:r w:rsidRPr="00667940">
        <w:rPr>
          <w:rFonts w:ascii="Times New Roman" w:eastAsia="Times New Roman" w:hAnsi="Times New Roman" w:cs="Times New Roman"/>
          <w:sz w:val="24"/>
          <w:szCs w:val="24"/>
        </w:rPr>
        <w:t>nabespreking</w:t>
      </w:r>
      <w:proofErr w:type="spellEnd"/>
      <w:r w:rsidRPr="00667940">
        <w:rPr>
          <w:rFonts w:ascii="Times New Roman" w:eastAsia="Times New Roman" w:hAnsi="Times New Roman" w:cs="Times New Roman"/>
          <w:sz w:val="24"/>
          <w:szCs w:val="24"/>
        </w:rPr>
        <w:t xml:space="preserve"> les </w:t>
      </w:r>
      <w:proofErr w:type="spellStart"/>
      <w:r w:rsidRPr="00667940">
        <w:rPr>
          <w:rFonts w:ascii="Times New Roman" w:eastAsia="Times New Roman" w:hAnsi="Times New Roman" w:cs="Times New Roman"/>
          <w:sz w:val="24"/>
          <w:szCs w:val="24"/>
        </w:rPr>
        <w:t>hebben</w:t>
      </w:r>
      <w:proofErr w:type="spellEnd"/>
      <w:r w:rsidRPr="00667940">
        <w:rPr>
          <w:rFonts w:ascii="Times New Roman" w:eastAsia="Times New Roman" w:hAnsi="Times New Roman" w:cs="Times New Roman"/>
          <w:sz w:val="24"/>
          <w:szCs w:val="24"/>
        </w:rPr>
        <w:t xml:space="preserve"> we </w:t>
      </w:r>
      <w:proofErr w:type="spellStart"/>
      <w:r w:rsidRPr="00667940">
        <w:rPr>
          <w:rFonts w:ascii="Times New Roman" w:eastAsia="Times New Roman" w:hAnsi="Times New Roman" w:cs="Times New Roman"/>
          <w:sz w:val="24"/>
          <w:szCs w:val="24"/>
        </w:rPr>
        <w:t>verder</w:t>
      </w:r>
      <w:proofErr w:type="spellEnd"/>
      <w:r w:rsidRPr="00667940">
        <w:rPr>
          <w:rFonts w:ascii="Times New Roman" w:eastAsia="Times New Roman" w:hAnsi="Times New Roman" w:cs="Times New Roman"/>
          <w:sz w:val="24"/>
          <w:szCs w:val="24"/>
        </w:rPr>
        <w:t xml:space="preserve"> </w:t>
      </w:r>
      <w:proofErr w:type="spellStart"/>
      <w:r w:rsidRPr="00667940">
        <w:rPr>
          <w:rFonts w:ascii="Times New Roman" w:eastAsia="Times New Roman" w:hAnsi="Times New Roman" w:cs="Times New Roman"/>
          <w:sz w:val="24"/>
          <w:szCs w:val="24"/>
        </w:rPr>
        <w:t>nagedacht</w:t>
      </w:r>
      <w:proofErr w:type="spellEnd"/>
      <w:r w:rsidRPr="00667940">
        <w:rPr>
          <w:rFonts w:ascii="Times New Roman" w:eastAsia="Times New Roman" w:hAnsi="Times New Roman" w:cs="Times New Roman"/>
          <w:sz w:val="24"/>
          <w:szCs w:val="24"/>
        </w:rPr>
        <w:t xml:space="preserve"> over </w:t>
      </w:r>
      <w:proofErr w:type="spellStart"/>
      <w:r w:rsidRPr="00667940">
        <w:rPr>
          <w:rFonts w:ascii="Times New Roman" w:eastAsia="Times New Roman" w:hAnsi="Times New Roman" w:cs="Times New Roman"/>
          <w:sz w:val="24"/>
          <w:szCs w:val="24"/>
        </w:rPr>
        <w:t>vooroordelen</w:t>
      </w:r>
      <w:proofErr w:type="spellEnd"/>
      <w:r w:rsidRPr="00667940">
        <w:rPr>
          <w:rFonts w:ascii="Times New Roman" w:eastAsia="Times New Roman" w:hAnsi="Times New Roman" w:cs="Times New Roman"/>
          <w:sz w:val="24"/>
          <w:szCs w:val="24"/>
        </w:rPr>
        <w:t xml:space="preserve"> (In the discussion session we further reflected on prejudice). </w:t>
      </w:r>
    </w:p>
    <w:p w14:paraId="3FEE5C83" w14:textId="77777777" w:rsidR="002547CE" w:rsidRPr="00667940" w:rsidRDefault="0096142E">
      <w:pPr>
        <w:numPr>
          <w:ilvl w:val="0"/>
          <w:numId w:val="1"/>
        </w:numPr>
        <w:spacing w:line="480" w:lineRule="auto"/>
        <w:rPr>
          <w:rFonts w:ascii="Times New Roman" w:hAnsi="Times New Roman" w:cs="Times New Roman"/>
          <w:sz w:val="24"/>
          <w:szCs w:val="24"/>
          <w:lang w:val="nl-NL"/>
        </w:rPr>
      </w:pPr>
      <w:r w:rsidRPr="00667940">
        <w:rPr>
          <w:rFonts w:ascii="Times New Roman" w:eastAsia="Times New Roman" w:hAnsi="Times New Roman" w:cs="Times New Roman"/>
          <w:sz w:val="24"/>
          <w:szCs w:val="24"/>
          <w:lang w:val="nl-NL"/>
        </w:rPr>
        <w:lastRenderedPageBreak/>
        <w:t xml:space="preserve">De begeleider stelde vragen waardoor ik aan het denken gezet (The facilitator made me </w:t>
      </w:r>
      <w:proofErr w:type="spellStart"/>
      <w:r w:rsidRPr="00667940">
        <w:rPr>
          <w:rFonts w:ascii="Times New Roman" w:eastAsia="Times New Roman" w:hAnsi="Times New Roman" w:cs="Times New Roman"/>
          <w:sz w:val="24"/>
          <w:szCs w:val="24"/>
          <w:lang w:val="nl-NL"/>
        </w:rPr>
        <w:t>think</w:t>
      </w:r>
      <w:proofErr w:type="spellEnd"/>
      <w:r w:rsidRPr="00667940">
        <w:rPr>
          <w:rFonts w:ascii="Times New Roman" w:eastAsia="Times New Roman" w:hAnsi="Times New Roman" w:cs="Times New Roman"/>
          <w:sz w:val="24"/>
          <w:szCs w:val="24"/>
          <w:lang w:val="nl-NL"/>
        </w:rPr>
        <w:t>).</w:t>
      </w:r>
    </w:p>
    <w:p w14:paraId="365FD5BF" w14:textId="71A685D3"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The original versions (in Dutch) of items in Figure 4. The items appear in the same order as the</w:t>
      </w:r>
      <w:r w:rsidR="00C97F57">
        <w:rPr>
          <w:rFonts w:ascii="Times New Roman" w:eastAsia="Times New Roman" w:hAnsi="Times New Roman" w:cs="Times New Roman"/>
          <w:sz w:val="24"/>
          <w:szCs w:val="24"/>
        </w:rPr>
        <w:t xml:space="preserve">y do so in the </w:t>
      </w:r>
      <w:r w:rsidRPr="00667940">
        <w:rPr>
          <w:rFonts w:ascii="Times New Roman" w:eastAsia="Times New Roman" w:hAnsi="Times New Roman" w:cs="Times New Roman"/>
          <w:sz w:val="24"/>
          <w:szCs w:val="24"/>
        </w:rPr>
        <w:t>figure.</w:t>
      </w:r>
    </w:p>
    <w:p w14:paraId="1597D728" w14:textId="77777777" w:rsidR="002547CE" w:rsidRPr="00667940" w:rsidRDefault="0096142E">
      <w:pPr>
        <w:numPr>
          <w:ilvl w:val="0"/>
          <w:numId w:val="3"/>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lang w:val="nl-NL"/>
        </w:rPr>
        <w:t xml:space="preserve">Na de expeditie [Hoe vaak heb je het er met klasgenoten over gehad?] </w:t>
      </w:r>
      <w:r w:rsidRPr="00667940">
        <w:rPr>
          <w:rFonts w:ascii="Times New Roman" w:eastAsia="Times New Roman" w:hAnsi="Times New Roman" w:cs="Times New Roman"/>
          <w:sz w:val="24"/>
          <w:szCs w:val="24"/>
        </w:rPr>
        <w:t>(After the expedition [How often did you talk about it with classmates?])</w:t>
      </w:r>
    </w:p>
    <w:p w14:paraId="7D25DA0B" w14:textId="77777777" w:rsidR="002547CE" w:rsidRPr="00667940" w:rsidRDefault="0096142E">
      <w:pPr>
        <w:numPr>
          <w:ilvl w:val="0"/>
          <w:numId w:val="3"/>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lang w:val="nl-NL"/>
        </w:rPr>
        <w:t xml:space="preserve">Na de expeditie [Hoe vaak heb je het er thuis over gehad (met bijv. je ouders, broer of zus)?] </w:t>
      </w:r>
      <w:r w:rsidRPr="00667940">
        <w:rPr>
          <w:rFonts w:ascii="Times New Roman" w:eastAsia="Times New Roman" w:hAnsi="Times New Roman" w:cs="Times New Roman"/>
          <w:sz w:val="24"/>
          <w:szCs w:val="24"/>
        </w:rPr>
        <w:t>(After the expedition [How often did you talk about it at home (e.g., with your parents, siblings)?)</w:t>
      </w:r>
    </w:p>
    <w:p w14:paraId="302AC0E6" w14:textId="77777777" w:rsidR="002547CE" w:rsidRPr="00667940" w:rsidRDefault="0096142E">
      <w:pPr>
        <w:numPr>
          <w:ilvl w:val="0"/>
          <w:numId w:val="3"/>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lang w:val="nl-NL"/>
        </w:rPr>
        <w:t xml:space="preserve">Na de expeditie [Hoe vaak heb je het er met vrienden buiten school (bijv. van de sportclub) over gehad?] </w:t>
      </w:r>
      <w:r w:rsidRPr="00667940">
        <w:rPr>
          <w:rFonts w:ascii="Times New Roman" w:eastAsia="Times New Roman" w:hAnsi="Times New Roman" w:cs="Times New Roman"/>
          <w:sz w:val="24"/>
          <w:szCs w:val="24"/>
        </w:rPr>
        <w:t>(​​After the expedition [How often did you talk about it with friends outside of school (e.g., from the sports club)?)</w:t>
      </w:r>
    </w:p>
    <w:p w14:paraId="7336F66B" w14:textId="77777777"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 xml:space="preserve">Questions about applying the knowledge to real life. </w:t>
      </w:r>
    </w:p>
    <w:p w14:paraId="1E984FEC" w14:textId="77777777" w:rsidR="002547CE" w:rsidRPr="00667940" w:rsidRDefault="0096142E">
      <w:pPr>
        <w:numPr>
          <w:ilvl w:val="0"/>
          <w:numId w:val="2"/>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lang w:val="nl-NL"/>
        </w:rPr>
        <w:t xml:space="preserve">​​Heb je sinds het bezoek aan de containers een vervelende situatie (zoals buitensluiting, pesten, etc.) gezien? </w:t>
      </w:r>
      <w:r w:rsidRPr="00667940">
        <w:rPr>
          <w:rFonts w:ascii="Times New Roman" w:eastAsia="Times New Roman" w:hAnsi="Times New Roman" w:cs="Times New Roman"/>
          <w:sz w:val="24"/>
          <w:szCs w:val="24"/>
        </w:rPr>
        <w:t xml:space="preserve">(1 = </w:t>
      </w:r>
      <w:r w:rsidRPr="00667940">
        <w:rPr>
          <w:rFonts w:ascii="Times New Roman" w:eastAsia="Times New Roman" w:hAnsi="Times New Roman" w:cs="Times New Roman"/>
          <w:i/>
          <w:sz w:val="24"/>
          <w:szCs w:val="24"/>
        </w:rPr>
        <w:t>Nee</w:t>
      </w:r>
      <w:r w:rsidRPr="00667940">
        <w:rPr>
          <w:rFonts w:ascii="Times New Roman" w:eastAsia="Times New Roman" w:hAnsi="Times New Roman" w:cs="Times New Roman"/>
          <w:sz w:val="24"/>
          <w:szCs w:val="24"/>
        </w:rPr>
        <w:t xml:space="preserve">, 2 = </w:t>
      </w:r>
      <w:r w:rsidRPr="00667940">
        <w:rPr>
          <w:rFonts w:ascii="Times New Roman" w:eastAsia="Times New Roman" w:hAnsi="Times New Roman" w:cs="Times New Roman"/>
          <w:i/>
          <w:sz w:val="24"/>
          <w:szCs w:val="24"/>
        </w:rPr>
        <w:t>Ja</w:t>
      </w:r>
      <w:r w:rsidRPr="00667940">
        <w:rPr>
          <w:rFonts w:ascii="Times New Roman" w:eastAsia="Times New Roman" w:hAnsi="Times New Roman" w:cs="Times New Roman"/>
          <w:sz w:val="24"/>
          <w:szCs w:val="24"/>
        </w:rPr>
        <w:t>) (Have you seen an unpleasant situation (such as social exclusion, bullying, etc.) since the visit to the containers)</w:t>
      </w:r>
    </w:p>
    <w:p w14:paraId="543EDDAF" w14:textId="77777777" w:rsidR="002547CE" w:rsidRPr="00667940" w:rsidRDefault="0096142E">
      <w:pPr>
        <w:numPr>
          <w:ilvl w:val="0"/>
          <w:numId w:val="2"/>
        </w:num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lang w:val="nl-NL"/>
        </w:rPr>
        <w:t xml:space="preserve">Heb je toen iets anders gedaan dan je vóór Expeditie VRIEND&amp;VIJAND zou hebben gedaan? </w:t>
      </w:r>
      <w:r w:rsidRPr="00667940">
        <w:rPr>
          <w:rFonts w:ascii="Times New Roman" w:eastAsia="Times New Roman" w:hAnsi="Times New Roman" w:cs="Times New Roman"/>
          <w:sz w:val="24"/>
          <w:szCs w:val="24"/>
        </w:rPr>
        <w:t xml:space="preserve">(1 = </w:t>
      </w:r>
      <w:r w:rsidRPr="00667940">
        <w:rPr>
          <w:rFonts w:ascii="Times New Roman" w:eastAsia="Times New Roman" w:hAnsi="Times New Roman" w:cs="Times New Roman"/>
          <w:i/>
          <w:sz w:val="24"/>
          <w:szCs w:val="24"/>
        </w:rPr>
        <w:t>Nee</w:t>
      </w:r>
      <w:r w:rsidRPr="00667940">
        <w:rPr>
          <w:rFonts w:ascii="Times New Roman" w:eastAsia="Times New Roman" w:hAnsi="Times New Roman" w:cs="Times New Roman"/>
          <w:sz w:val="24"/>
          <w:szCs w:val="24"/>
        </w:rPr>
        <w:t xml:space="preserve">, 2 = </w:t>
      </w:r>
      <w:r w:rsidRPr="00667940">
        <w:rPr>
          <w:rFonts w:ascii="Times New Roman" w:eastAsia="Times New Roman" w:hAnsi="Times New Roman" w:cs="Times New Roman"/>
          <w:i/>
          <w:sz w:val="24"/>
          <w:szCs w:val="24"/>
        </w:rPr>
        <w:t>Ja</w:t>
      </w:r>
      <w:r w:rsidRPr="00667940">
        <w:rPr>
          <w:rFonts w:ascii="Times New Roman" w:eastAsia="Times New Roman" w:hAnsi="Times New Roman" w:cs="Times New Roman"/>
          <w:sz w:val="24"/>
          <w:szCs w:val="24"/>
        </w:rPr>
        <w:t>) (Did you do anything different then than you would have done before the expedition FRIEND&amp;VIJAND?)</w:t>
      </w:r>
    </w:p>
    <w:p w14:paraId="0ACB7152" w14:textId="77777777"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eastAsia="Times New Roman" w:hAnsi="Times New Roman" w:cs="Times New Roman"/>
          <w:sz w:val="24"/>
          <w:szCs w:val="24"/>
        </w:rPr>
        <w:t>*Note: The non-profit organization called the training sessions an “expedition (</w:t>
      </w:r>
      <w:proofErr w:type="spellStart"/>
      <w:r w:rsidRPr="00667940">
        <w:rPr>
          <w:rFonts w:ascii="Times New Roman" w:eastAsia="Times New Roman" w:hAnsi="Times New Roman" w:cs="Times New Roman"/>
          <w:sz w:val="24"/>
          <w:szCs w:val="24"/>
        </w:rPr>
        <w:t>expeditie</w:t>
      </w:r>
      <w:proofErr w:type="spellEnd"/>
      <w:r w:rsidRPr="00667940">
        <w:rPr>
          <w:rFonts w:ascii="Times New Roman" w:eastAsia="Times New Roman" w:hAnsi="Times New Roman" w:cs="Times New Roman"/>
          <w:sz w:val="24"/>
          <w:szCs w:val="24"/>
        </w:rPr>
        <w:t xml:space="preserve"> in Dutch).” In the translations here, we remained close to the original choice of words </w:t>
      </w:r>
      <w:proofErr w:type="gramStart"/>
      <w:r w:rsidRPr="00667940">
        <w:rPr>
          <w:rFonts w:ascii="Times New Roman" w:eastAsia="Times New Roman" w:hAnsi="Times New Roman" w:cs="Times New Roman"/>
          <w:sz w:val="24"/>
          <w:szCs w:val="24"/>
        </w:rPr>
        <w:t>and also</w:t>
      </w:r>
      <w:proofErr w:type="gramEnd"/>
      <w:r w:rsidRPr="00667940">
        <w:rPr>
          <w:rFonts w:ascii="Times New Roman" w:eastAsia="Times New Roman" w:hAnsi="Times New Roman" w:cs="Times New Roman"/>
          <w:sz w:val="24"/>
          <w:szCs w:val="24"/>
        </w:rPr>
        <w:t xml:space="preserve"> used “expedition.” Yet, in the manuscript we always refer to it as a training program. </w:t>
      </w:r>
    </w:p>
    <w:p w14:paraId="27E2423E" w14:textId="77777777" w:rsidR="002547CE" w:rsidRPr="00667940" w:rsidRDefault="0096142E">
      <w:pPr>
        <w:spacing w:line="480" w:lineRule="auto"/>
        <w:rPr>
          <w:rFonts w:ascii="Times New Roman" w:eastAsia="Times New Roman" w:hAnsi="Times New Roman" w:cs="Times New Roman"/>
          <w:sz w:val="24"/>
          <w:szCs w:val="24"/>
        </w:rPr>
      </w:pPr>
      <w:r w:rsidRPr="00667940">
        <w:rPr>
          <w:rFonts w:ascii="Times New Roman" w:hAnsi="Times New Roman" w:cs="Times New Roman"/>
          <w:sz w:val="24"/>
          <w:szCs w:val="24"/>
        </w:rPr>
        <w:br w:type="page"/>
      </w:r>
    </w:p>
    <w:p w14:paraId="2E141F30" w14:textId="77777777" w:rsidR="002547CE" w:rsidRPr="00667940" w:rsidRDefault="0096142E">
      <w:pPr>
        <w:spacing w:line="480" w:lineRule="auto"/>
        <w:jc w:val="center"/>
        <w:rPr>
          <w:rFonts w:ascii="Times New Roman" w:eastAsia="Times New Roman" w:hAnsi="Times New Roman" w:cs="Times New Roman"/>
          <w:b/>
          <w:sz w:val="24"/>
          <w:szCs w:val="24"/>
        </w:rPr>
      </w:pPr>
      <w:r w:rsidRPr="00667940">
        <w:rPr>
          <w:rFonts w:ascii="Times New Roman" w:eastAsia="Times New Roman" w:hAnsi="Times New Roman" w:cs="Times New Roman"/>
          <w:b/>
          <w:sz w:val="24"/>
          <w:szCs w:val="24"/>
        </w:rPr>
        <w:lastRenderedPageBreak/>
        <w:t>References</w:t>
      </w:r>
    </w:p>
    <w:p w14:paraId="11C98F6F" w14:textId="3C29A279"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Abrams, D., Weick, M., Thomas, D., Colbe, H., &amp; Franklin, K. M. (2011). On-line ostracism affects children differently from adolescents and adults. </w:t>
      </w:r>
      <w:r w:rsidRPr="008C6D5E">
        <w:rPr>
          <w:rFonts w:ascii="Times New Roman" w:hAnsi="Times New Roman" w:cs="Times New Roman"/>
          <w:i/>
          <w:iCs/>
          <w:sz w:val="24"/>
          <w:lang w:val="en-US"/>
        </w:rPr>
        <w:t>British Journal of Developmental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29</w:t>
      </w:r>
      <w:r w:rsidRPr="008C6D5E">
        <w:rPr>
          <w:rFonts w:ascii="Times New Roman" w:hAnsi="Times New Roman" w:cs="Times New Roman"/>
          <w:sz w:val="24"/>
          <w:lang w:val="en-US"/>
        </w:rPr>
        <w:t>(1), 110–123. https://doi.org/10.1348/026151010X494089</w:t>
      </w:r>
    </w:p>
    <w:p w14:paraId="7C905622"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Beeri, A., &amp; Lev-Wiesel, R. (2012). Social rejection by peers: A risk factor for psychological distress. </w:t>
      </w:r>
      <w:r w:rsidRPr="008C6D5E">
        <w:rPr>
          <w:rFonts w:ascii="Times New Roman" w:hAnsi="Times New Roman" w:cs="Times New Roman"/>
          <w:i/>
          <w:iCs/>
          <w:sz w:val="24"/>
          <w:lang w:val="en-US"/>
        </w:rPr>
        <w:t>Child and Adolescent Mental Health</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17</w:t>
      </w:r>
      <w:r w:rsidRPr="008C6D5E">
        <w:rPr>
          <w:rFonts w:ascii="Times New Roman" w:hAnsi="Times New Roman" w:cs="Times New Roman"/>
          <w:sz w:val="24"/>
          <w:lang w:val="en-US"/>
        </w:rPr>
        <w:t>(4), 216–221. https://doi.org/10.1111/j.1475-3588.2011.00637.x</w:t>
      </w:r>
    </w:p>
    <w:p w14:paraId="48455B20"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Bernstein, M. J., Sacco, D. F., Young, S. G., Hugenberg, K., &amp; Cook, E. (2010). Being “in” with the in-crowd: The effects of social exclusion and inclusion are enhanced by the perceived essentialism of ingroups and outgroups. </w:t>
      </w:r>
      <w:r w:rsidRPr="008C6D5E">
        <w:rPr>
          <w:rFonts w:ascii="Times New Roman" w:hAnsi="Times New Roman" w:cs="Times New Roman"/>
          <w:i/>
          <w:iCs/>
          <w:sz w:val="24"/>
          <w:lang w:val="en-US"/>
        </w:rPr>
        <w:t>Personality and Social Psychology Bulletin</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36</w:t>
      </w:r>
      <w:r w:rsidRPr="008C6D5E">
        <w:rPr>
          <w:rFonts w:ascii="Times New Roman" w:hAnsi="Times New Roman" w:cs="Times New Roman"/>
          <w:sz w:val="24"/>
          <w:lang w:val="en-US"/>
        </w:rPr>
        <w:t>(8), 999–1009. https://doi.org/10.1177/0146167210376059</w:t>
      </w:r>
    </w:p>
    <w:p w14:paraId="27C5AF5F"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Chen, Z., Williams, K. D., Fitness, J., &amp; Newton, N. C. (2008). When hurt will not heal: Exploring the capacity to relive social and physical pain. </w:t>
      </w:r>
      <w:r w:rsidRPr="008C6D5E">
        <w:rPr>
          <w:rFonts w:ascii="Times New Roman" w:hAnsi="Times New Roman" w:cs="Times New Roman"/>
          <w:i/>
          <w:iCs/>
          <w:sz w:val="24"/>
          <w:lang w:val="en-US"/>
        </w:rPr>
        <w:t>Psychological Science</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19</w:t>
      </w:r>
      <w:r w:rsidRPr="008C6D5E">
        <w:rPr>
          <w:rFonts w:ascii="Times New Roman" w:hAnsi="Times New Roman" w:cs="Times New Roman"/>
          <w:sz w:val="24"/>
          <w:lang w:val="en-US"/>
        </w:rPr>
        <w:t>(8), 789–795. https://doi.org/10.1111/j.1467-9280.2008.02158.x</w:t>
      </w:r>
    </w:p>
    <w:p w14:paraId="65E593B2"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de Waal-Andrews, W., &amp; van Beest, I. (2012). When you don’t quite get what you want: Psychological and interpersonal consequences of claiming inclusion. </w:t>
      </w:r>
      <w:r w:rsidRPr="008C6D5E">
        <w:rPr>
          <w:rFonts w:ascii="Times New Roman" w:hAnsi="Times New Roman" w:cs="Times New Roman"/>
          <w:i/>
          <w:iCs/>
          <w:sz w:val="24"/>
          <w:lang w:val="en-US"/>
        </w:rPr>
        <w:t>Personality and Social Psychology Bulletin</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38</w:t>
      </w:r>
      <w:r w:rsidRPr="008C6D5E">
        <w:rPr>
          <w:rFonts w:ascii="Times New Roman" w:hAnsi="Times New Roman" w:cs="Times New Roman"/>
          <w:sz w:val="24"/>
          <w:lang w:val="en-US"/>
        </w:rPr>
        <w:t>(10), 1367–1377. https://doi.org/10.1177/0146167212450463</w:t>
      </w:r>
    </w:p>
    <w:p w14:paraId="335FF8BE"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DeSouza, E. R., Wesselmann, E. D., &amp; Ispas, D. (2017). Workplace Discrimination against Sexual Minorities: Subtle and not-so-subtle. </w:t>
      </w:r>
      <w:r w:rsidRPr="008C6D5E">
        <w:rPr>
          <w:rFonts w:ascii="Times New Roman" w:hAnsi="Times New Roman" w:cs="Times New Roman"/>
          <w:i/>
          <w:iCs/>
          <w:sz w:val="24"/>
          <w:lang w:val="en-US"/>
        </w:rPr>
        <w:t>Canadian Journal of Administrative Sciences</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34</w:t>
      </w:r>
      <w:r w:rsidRPr="008C6D5E">
        <w:rPr>
          <w:rFonts w:ascii="Times New Roman" w:hAnsi="Times New Roman" w:cs="Times New Roman"/>
          <w:sz w:val="24"/>
          <w:lang w:val="en-US"/>
        </w:rPr>
        <w:t>(2), 121–132. https://doi.org/10.1002/cjas.1438</w:t>
      </w:r>
    </w:p>
    <w:p w14:paraId="03D66C24"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DeSouza, E. R., Wesselmann, E. D., Taschetto, L. R., Rosa, G. C., Rosa, C. F. F., Yunes, M. A. M., da Silva, G. F., &amp; Fernandes, G. (2019). Investigating Ostracism and Racial </w:t>
      </w:r>
      <w:r w:rsidRPr="008C6D5E">
        <w:rPr>
          <w:rFonts w:ascii="Times New Roman" w:hAnsi="Times New Roman" w:cs="Times New Roman"/>
          <w:sz w:val="24"/>
          <w:lang w:val="en-US"/>
        </w:rPr>
        <w:lastRenderedPageBreak/>
        <w:t xml:space="preserve">Microaggressions Toward Afro-Brazilians. </w:t>
      </w:r>
      <w:r w:rsidRPr="008C6D5E">
        <w:rPr>
          <w:rFonts w:ascii="Times New Roman" w:hAnsi="Times New Roman" w:cs="Times New Roman"/>
          <w:i/>
          <w:iCs/>
          <w:sz w:val="24"/>
          <w:lang w:val="en-US"/>
        </w:rPr>
        <w:t>Journal of Black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45</w:t>
      </w:r>
      <w:r w:rsidRPr="008C6D5E">
        <w:rPr>
          <w:rFonts w:ascii="Times New Roman" w:hAnsi="Times New Roman" w:cs="Times New Roman"/>
          <w:sz w:val="24"/>
          <w:lang w:val="en-US"/>
        </w:rPr>
        <w:t>(4), 222–268. https://doi.org/10.1177/0095798419864001</w:t>
      </w:r>
    </w:p>
    <w:p w14:paraId="53FF4FC2"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Dunn, A. M., Heggestad, E. D., Shanock, L. R., &amp; Theilgard, N. (2018). Intra-individual Response Variability as an Indicator of Insufficient Effort Responding: Comparison to Other Indicators and Relationships with Individual Differences. </w:t>
      </w:r>
      <w:r w:rsidRPr="008C6D5E">
        <w:rPr>
          <w:rFonts w:ascii="Times New Roman" w:hAnsi="Times New Roman" w:cs="Times New Roman"/>
          <w:i/>
          <w:iCs/>
          <w:sz w:val="24"/>
          <w:lang w:val="en-US"/>
        </w:rPr>
        <w:t>Journal of Business and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33</w:t>
      </w:r>
      <w:r w:rsidRPr="008C6D5E">
        <w:rPr>
          <w:rFonts w:ascii="Times New Roman" w:hAnsi="Times New Roman" w:cs="Times New Roman"/>
          <w:sz w:val="24"/>
          <w:lang w:val="en-US"/>
        </w:rPr>
        <w:t>(1), 105–121. https://doi.org/10.1007/s10869-016-9479-0</w:t>
      </w:r>
    </w:p>
    <w:p w14:paraId="04A3A58A"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Eck, J., Schoel, C., &amp; Greifeneder, R. (2017). Belonging to a majority reduces the immediate need threat from ostracism in individuals with a high need to belong. </w:t>
      </w:r>
      <w:r w:rsidRPr="008C6D5E">
        <w:rPr>
          <w:rFonts w:ascii="Times New Roman" w:hAnsi="Times New Roman" w:cs="Times New Roman"/>
          <w:i/>
          <w:iCs/>
          <w:sz w:val="24"/>
          <w:lang w:val="en-US"/>
        </w:rPr>
        <w:t>European Journal of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47</w:t>
      </w:r>
      <w:r w:rsidRPr="008C6D5E">
        <w:rPr>
          <w:rFonts w:ascii="Times New Roman" w:hAnsi="Times New Roman" w:cs="Times New Roman"/>
          <w:sz w:val="24"/>
          <w:lang w:val="en-US"/>
        </w:rPr>
        <w:t>(3), 273–288. https://doi.org/10.1002/ejsp.2233</w:t>
      </w:r>
    </w:p>
    <w:p w14:paraId="15124D5E"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Ferguson, C. J. (2009). An effect size primer: A guide for clinicians and researchers. </w:t>
      </w:r>
      <w:r w:rsidRPr="008C6D5E">
        <w:rPr>
          <w:rFonts w:ascii="Times New Roman" w:hAnsi="Times New Roman" w:cs="Times New Roman"/>
          <w:i/>
          <w:iCs/>
          <w:sz w:val="24"/>
          <w:lang w:val="en-US"/>
        </w:rPr>
        <w:t>Professional Psychology: Research and Practice</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40</w:t>
      </w:r>
      <w:r w:rsidRPr="008C6D5E">
        <w:rPr>
          <w:rFonts w:ascii="Times New Roman" w:hAnsi="Times New Roman" w:cs="Times New Roman"/>
          <w:sz w:val="24"/>
          <w:lang w:val="en-US"/>
        </w:rPr>
        <w:t>(5), 532–538. https://doi.org/10.1037/a0015808</w:t>
      </w:r>
    </w:p>
    <w:p w14:paraId="7A2EC565"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Funder, D. C., &amp; Ozer, D. J. (2019). Evaluating effect size in psychological research: Sense and nonsense. </w:t>
      </w:r>
      <w:r w:rsidRPr="008C6D5E">
        <w:rPr>
          <w:rFonts w:ascii="Times New Roman" w:hAnsi="Times New Roman" w:cs="Times New Roman"/>
          <w:i/>
          <w:iCs/>
          <w:sz w:val="24"/>
          <w:lang w:val="en-US"/>
        </w:rPr>
        <w:t>Advances in Methods and Practices in Psychological Science</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2</w:t>
      </w:r>
      <w:r w:rsidRPr="008C6D5E">
        <w:rPr>
          <w:rFonts w:ascii="Times New Roman" w:hAnsi="Times New Roman" w:cs="Times New Roman"/>
          <w:sz w:val="24"/>
          <w:lang w:val="en-US"/>
        </w:rPr>
        <w:t>(2), 156–168. https://doi.org/10.1177/2515245919847202</w:t>
      </w:r>
    </w:p>
    <w:p w14:paraId="6F57A102"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Gonsalkorale, K., &amp; Williams, K. D. (2007). The KKK won’t let me play: Ostracism even by a despised outgroup hurts. </w:t>
      </w:r>
      <w:r w:rsidRPr="008C6D5E">
        <w:rPr>
          <w:rFonts w:ascii="Times New Roman" w:hAnsi="Times New Roman" w:cs="Times New Roman"/>
          <w:i/>
          <w:iCs/>
          <w:sz w:val="24"/>
          <w:lang w:val="en-US"/>
        </w:rPr>
        <w:t>European Journal of Social Psychology Eur.</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37</w:t>
      </w:r>
      <w:r w:rsidRPr="008C6D5E">
        <w:rPr>
          <w:rFonts w:ascii="Times New Roman" w:hAnsi="Times New Roman" w:cs="Times New Roman"/>
          <w:sz w:val="24"/>
          <w:lang w:val="en-US"/>
        </w:rPr>
        <w:t>, 1176–1186. https://doi.org/10.1002/ejsp.392</w:t>
      </w:r>
    </w:p>
    <w:p w14:paraId="0FC8CA88"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Goodwin, S. A., Williams, K. D., &amp; Carter-Sowell, A. R. (2010). The psychological sting of stigma: The costs of attributing ostracism to racism. </w:t>
      </w:r>
      <w:r w:rsidRPr="008C6D5E">
        <w:rPr>
          <w:rFonts w:ascii="Times New Roman" w:hAnsi="Times New Roman" w:cs="Times New Roman"/>
          <w:i/>
          <w:iCs/>
          <w:sz w:val="24"/>
          <w:lang w:val="en-US"/>
        </w:rPr>
        <w:t>Journal of Experimental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46</w:t>
      </w:r>
      <w:r w:rsidRPr="008C6D5E">
        <w:rPr>
          <w:rFonts w:ascii="Times New Roman" w:hAnsi="Times New Roman" w:cs="Times New Roman"/>
          <w:sz w:val="24"/>
          <w:lang w:val="en-US"/>
        </w:rPr>
        <w:t>(4), 612–618. https://doi.org/10.1016/j.jesp.2010.02.002</w:t>
      </w:r>
    </w:p>
    <w:p w14:paraId="250E802D"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lastRenderedPageBreak/>
        <w:t xml:space="preserve">Hartgerink, C. H. J., Van Beest, I., Wicherts, J. M., &amp; Williams, K. D. (2015). The ordinal effects of ostracism: A meta-analysis of 120 cyberball studies. </w:t>
      </w:r>
      <w:r w:rsidRPr="008C6D5E">
        <w:rPr>
          <w:rFonts w:ascii="Times New Roman" w:hAnsi="Times New Roman" w:cs="Times New Roman"/>
          <w:i/>
          <w:iCs/>
          <w:sz w:val="24"/>
          <w:lang w:val="en-US"/>
        </w:rPr>
        <w:t>PLoS ONE</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10</w:t>
      </w:r>
      <w:r w:rsidRPr="008C6D5E">
        <w:rPr>
          <w:rFonts w:ascii="Times New Roman" w:hAnsi="Times New Roman" w:cs="Times New Roman"/>
          <w:sz w:val="24"/>
          <w:lang w:val="en-US"/>
        </w:rPr>
        <w:t>(5), 1–24. https://doi.org/10.1371/journal.pone.0127002</w:t>
      </w:r>
    </w:p>
    <w:p w14:paraId="3857FDBD"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Hawes, D. J., Zadro, L., Fink, E., Richardson, R., O’Moore, K., Griffiths, B., Dadds, M. R., &amp; Williams, K. D. (2012). The effects of peer ostracism on children’s cognitive processes. </w:t>
      </w:r>
      <w:r w:rsidRPr="008C6D5E">
        <w:rPr>
          <w:rFonts w:ascii="Times New Roman" w:hAnsi="Times New Roman" w:cs="Times New Roman"/>
          <w:i/>
          <w:iCs/>
          <w:sz w:val="24"/>
          <w:lang w:val="en-US"/>
        </w:rPr>
        <w:t>European Journal of Developmental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9</w:t>
      </w:r>
      <w:r w:rsidRPr="008C6D5E">
        <w:rPr>
          <w:rFonts w:ascii="Times New Roman" w:hAnsi="Times New Roman" w:cs="Times New Roman"/>
          <w:sz w:val="24"/>
          <w:lang w:val="en-US"/>
        </w:rPr>
        <w:t>(5), 599–613. https://doi.org/10.1080/17405629.2011.638815</w:t>
      </w:r>
    </w:p>
    <w:p w14:paraId="22AE08C3"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Killen, M., &amp; Stangor, C. (2001). Children’s social reasoning about inclusion and exclusion in gender and race peer group contexts. </w:t>
      </w:r>
      <w:r w:rsidRPr="008C6D5E">
        <w:rPr>
          <w:rFonts w:ascii="Times New Roman" w:hAnsi="Times New Roman" w:cs="Times New Roman"/>
          <w:i/>
          <w:iCs/>
          <w:sz w:val="24"/>
          <w:lang w:val="en-US"/>
        </w:rPr>
        <w:t>Child Development</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72</w:t>
      </w:r>
      <w:r w:rsidRPr="008C6D5E">
        <w:rPr>
          <w:rFonts w:ascii="Times New Roman" w:hAnsi="Times New Roman" w:cs="Times New Roman"/>
          <w:sz w:val="24"/>
          <w:lang w:val="en-US"/>
        </w:rPr>
        <w:t>(1), 174–186. https://doi.org/10.1111/1467-8624.00272</w:t>
      </w:r>
    </w:p>
    <w:p w14:paraId="0992F729"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London, B., Downey, G., Romero-Canyas, R., Rattan, A., &amp; Tyson, D. (2012). Gender-based rejection sensitivity and academic self-silencing in women. </w:t>
      </w:r>
      <w:r w:rsidRPr="008C6D5E">
        <w:rPr>
          <w:rFonts w:ascii="Times New Roman" w:hAnsi="Times New Roman" w:cs="Times New Roman"/>
          <w:i/>
          <w:iCs/>
          <w:sz w:val="24"/>
          <w:lang w:val="en-US"/>
        </w:rPr>
        <w:t>Journal of Personality and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102</w:t>
      </w:r>
      <w:r w:rsidRPr="008C6D5E">
        <w:rPr>
          <w:rFonts w:ascii="Times New Roman" w:hAnsi="Times New Roman" w:cs="Times New Roman"/>
          <w:sz w:val="24"/>
          <w:lang w:val="en-US"/>
        </w:rPr>
        <w:t>(5), 961–979. https://doi.org/10.1037/a0026615</w:t>
      </w:r>
    </w:p>
    <w:p w14:paraId="66209CF6"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Lopez, C., &amp; DuBois, D. L. (2005). Peer victimization and rejection: Investigation of an integrative model of effects on emotional, behavioral, and academic adjustment in early adolescence. </w:t>
      </w:r>
      <w:r w:rsidRPr="008C6D5E">
        <w:rPr>
          <w:rFonts w:ascii="Times New Roman" w:hAnsi="Times New Roman" w:cs="Times New Roman"/>
          <w:i/>
          <w:iCs/>
          <w:sz w:val="24"/>
          <w:lang w:val="en-US"/>
        </w:rPr>
        <w:t>Journal of Clinical Child and Adolescent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34</w:t>
      </w:r>
      <w:r w:rsidRPr="008C6D5E">
        <w:rPr>
          <w:rFonts w:ascii="Times New Roman" w:hAnsi="Times New Roman" w:cs="Times New Roman"/>
          <w:sz w:val="24"/>
          <w:lang w:val="en-US"/>
        </w:rPr>
        <w:t>(1), 25–36. https://doi.org/10.1207/s15374424jccp3401_3</w:t>
      </w:r>
    </w:p>
    <w:p w14:paraId="0C3264A2"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Mendoza-Denton, R., Downey, G., Purdie, V. J., Davis, A., &amp; Pietrzak, J. (2002). Sensitivity to status-based rejection: Implications for African American students’ college experience. </w:t>
      </w:r>
      <w:r w:rsidRPr="008C6D5E">
        <w:rPr>
          <w:rFonts w:ascii="Times New Roman" w:hAnsi="Times New Roman" w:cs="Times New Roman"/>
          <w:i/>
          <w:iCs/>
          <w:sz w:val="24"/>
          <w:lang w:val="en-US"/>
        </w:rPr>
        <w:t>Journal of Personality and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83</w:t>
      </w:r>
      <w:r w:rsidRPr="008C6D5E">
        <w:rPr>
          <w:rFonts w:ascii="Times New Roman" w:hAnsi="Times New Roman" w:cs="Times New Roman"/>
          <w:sz w:val="24"/>
          <w:lang w:val="en-US"/>
        </w:rPr>
        <w:t>(4), 896–918. https://doi.org/10.1037/0022-3514.83.4.896</w:t>
      </w:r>
    </w:p>
    <w:p w14:paraId="044B5779"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lastRenderedPageBreak/>
        <w:t xml:space="preserve">Mulvey, K. L., Palmer, S. B., &amp; Abrams, D. (2016). Race-based humor and peer group dynamics in adolescence: Bystander intervention and social exclusion. </w:t>
      </w:r>
      <w:r w:rsidRPr="008C6D5E">
        <w:rPr>
          <w:rFonts w:ascii="Times New Roman" w:hAnsi="Times New Roman" w:cs="Times New Roman"/>
          <w:i/>
          <w:iCs/>
          <w:sz w:val="24"/>
          <w:lang w:val="en-US"/>
        </w:rPr>
        <w:t>Child Development</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87</w:t>
      </w:r>
      <w:r w:rsidRPr="008C6D5E">
        <w:rPr>
          <w:rFonts w:ascii="Times New Roman" w:hAnsi="Times New Roman" w:cs="Times New Roman"/>
          <w:sz w:val="24"/>
          <w:lang w:val="en-US"/>
        </w:rPr>
        <w:t>(5), 1379–1391. https://doi.org/10.1111/cdev.12600</w:t>
      </w:r>
    </w:p>
    <w:p w14:paraId="59676E69"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Pharo, H., Gross, J., Richardson, R., &amp; Hayne, H. (2011). Age-related changes in the effect of ostracism. </w:t>
      </w:r>
      <w:r w:rsidRPr="008C6D5E">
        <w:rPr>
          <w:rFonts w:ascii="Times New Roman" w:hAnsi="Times New Roman" w:cs="Times New Roman"/>
          <w:i/>
          <w:iCs/>
          <w:sz w:val="24"/>
          <w:lang w:val="en-US"/>
        </w:rPr>
        <w:t>Social Influence</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6</w:t>
      </w:r>
      <w:r w:rsidRPr="008C6D5E">
        <w:rPr>
          <w:rFonts w:ascii="Times New Roman" w:hAnsi="Times New Roman" w:cs="Times New Roman"/>
          <w:sz w:val="24"/>
          <w:lang w:val="en-US"/>
        </w:rPr>
        <w:t>(1), 22–38. https://doi.org/10.1080/15534510.2010.525852</w:t>
      </w:r>
    </w:p>
    <w:p w14:paraId="7003877C" w14:textId="77777777" w:rsidR="008C6D5E" w:rsidRPr="008C6D5E" w:rsidRDefault="008C6D5E" w:rsidP="008C6D5E">
      <w:pPr>
        <w:pStyle w:val="Bibliography"/>
        <w:rPr>
          <w:rFonts w:ascii="Times New Roman" w:hAnsi="Times New Roman" w:cs="Times New Roman"/>
          <w:sz w:val="24"/>
          <w:lang w:val="nl-NL"/>
        </w:rPr>
      </w:pPr>
      <w:r w:rsidRPr="008C6D5E">
        <w:rPr>
          <w:rFonts w:ascii="Times New Roman" w:hAnsi="Times New Roman" w:cs="Times New Roman"/>
          <w:sz w:val="24"/>
          <w:lang w:val="en-US"/>
        </w:rPr>
        <w:t xml:space="preserve">Rajchert, J., Konopka, K., &amp; Huesmann, L. R. (2017). It is more than thought that counts: The role of readiness for aggression in the relationship between ostracism and displaced aggression. </w:t>
      </w:r>
      <w:r w:rsidRPr="008C6D5E">
        <w:rPr>
          <w:rFonts w:ascii="Times New Roman" w:hAnsi="Times New Roman" w:cs="Times New Roman"/>
          <w:i/>
          <w:iCs/>
          <w:sz w:val="24"/>
          <w:lang w:val="nl-NL"/>
        </w:rPr>
        <w:t>Current Psychology</w:t>
      </w:r>
      <w:r w:rsidRPr="008C6D5E">
        <w:rPr>
          <w:rFonts w:ascii="Times New Roman" w:hAnsi="Times New Roman" w:cs="Times New Roman"/>
          <w:sz w:val="24"/>
          <w:lang w:val="nl-NL"/>
        </w:rPr>
        <w:t xml:space="preserve">, </w:t>
      </w:r>
      <w:r w:rsidRPr="008C6D5E">
        <w:rPr>
          <w:rFonts w:ascii="Times New Roman" w:hAnsi="Times New Roman" w:cs="Times New Roman"/>
          <w:i/>
          <w:iCs/>
          <w:sz w:val="24"/>
          <w:lang w:val="nl-NL"/>
        </w:rPr>
        <w:t>36</w:t>
      </w:r>
      <w:r w:rsidRPr="008C6D5E">
        <w:rPr>
          <w:rFonts w:ascii="Times New Roman" w:hAnsi="Times New Roman" w:cs="Times New Roman"/>
          <w:sz w:val="24"/>
          <w:lang w:val="nl-NL"/>
        </w:rPr>
        <w:t>(3), 417–427. https://doi.org/10.1007/s12144-016-9430-6</w:t>
      </w:r>
    </w:p>
    <w:p w14:paraId="52719BFA"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nl-NL"/>
        </w:rPr>
        <w:t xml:space="preserve">Reijntjes, A., Stegge, H., &amp; Meerum Terwogt, M. (2006). </w:t>
      </w:r>
      <w:r w:rsidRPr="008C6D5E">
        <w:rPr>
          <w:rFonts w:ascii="Times New Roman" w:hAnsi="Times New Roman" w:cs="Times New Roman"/>
          <w:sz w:val="24"/>
          <w:lang w:val="en-US"/>
        </w:rPr>
        <w:t xml:space="preserve">Children’s coping with peer rejection: The role of depressive symptoms, social competence, and gender. </w:t>
      </w:r>
      <w:r w:rsidRPr="008C6D5E">
        <w:rPr>
          <w:rFonts w:ascii="Times New Roman" w:hAnsi="Times New Roman" w:cs="Times New Roman"/>
          <w:i/>
          <w:iCs/>
          <w:sz w:val="24"/>
          <w:lang w:val="en-US"/>
        </w:rPr>
        <w:t>Infant and Child Development</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15</w:t>
      </w:r>
      <w:r w:rsidRPr="008C6D5E">
        <w:rPr>
          <w:rFonts w:ascii="Times New Roman" w:hAnsi="Times New Roman" w:cs="Times New Roman"/>
          <w:sz w:val="24"/>
          <w:lang w:val="en-US"/>
        </w:rPr>
        <w:t>(1), 89–107. https://doi.org/10.1002/icd.435</w:t>
      </w:r>
    </w:p>
    <w:p w14:paraId="6B79B071"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Ren, D., Wesselmann, E. D., &amp; Williams, K. D. (2013). Interdependent self-construal moderates coping with (but not the initial pain of) ostracism. </w:t>
      </w:r>
      <w:r w:rsidRPr="008C6D5E">
        <w:rPr>
          <w:rFonts w:ascii="Times New Roman" w:hAnsi="Times New Roman" w:cs="Times New Roman"/>
          <w:i/>
          <w:iCs/>
          <w:sz w:val="24"/>
          <w:lang w:val="en-US"/>
        </w:rPr>
        <w:t>Asian Journal of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16</w:t>
      </w:r>
      <w:r w:rsidRPr="008C6D5E">
        <w:rPr>
          <w:rFonts w:ascii="Times New Roman" w:hAnsi="Times New Roman" w:cs="Times New Roman"/>
          <w:sz w:val="24"/>
          <w:lang w:val="en-US"/>
        </w:rPr>
        <w:t>(4), 320–326. https://doi.org/10.1111/ajsp.12037</w:t>
      </w:r>
    </w:p>
    <w:p w14:paraId="3672CB19"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Sleegers, W. W. A., Proulx, T., &amp; van Beest, I. (2016). The social pain of Cyberball: Decreased pupillary reactivity to exclusion cues. </w:t>
      </w:r>
      <w:r w:rsidRPr="008C6D5E">
        <w:rPr>
          <w:rFonts w:ascii="Times New Roman" w:hAnsi="Times New Roman" w:cs="Times New Roman"/>
          <w:i/>
          <w:iCs/>
          <w:sz w:val="24"/>
          <w:lang w:val="en-US"/>
        </w:rPr>
        <w:t>Journal of Experimental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69</w:t>
      </w:r>
      <w:r w:rsidRPr="008C6D5E">
        <w:rPr>
          <w:rFonts w:ascii="Times New Roman" w:hAnsi="Times New Roman" w:cs="Times New Roman"/>
          <w:sz w:val="24"/>
          <w:lang w:val="en-US"/>
        </w:rPr>
        <w:t>, 187–200. https://doi.org/10.1016/j.jesp.2016.08.004</w:t>
      </w:r>
    </w:p>
    <w:p w14:paraId="6CE65539"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Smart Richman, L., &amp; Leary, M. R. (2009). Reactions to discrimination, stigmatization, ostracism, and other forms of interpersonal rejection: A Multimotive Model. </w:t>
      </w:r>
      <w:r w:rsidRPr="008C6D5E">
        <w:rPr>
          <w:rFonts w:ascii="Times New Roman" w:hAnsi="Times New Roman" w:cs="Times New Roman"/>
          <w:i/>
          <w:iCs/>
          <w:sz w:val="24"/>
          <w:lang w:val="en-US"/>
        </w:rPr>
        <w:t>Psychological Review</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116</w:t>
      </w:r>
      <w:r w:rsidRPr="008C6D5E">
        <w:rPr>
          <w:rFonts w:ascii="Times New Roman" w:hAnsi="Times New Roman" w:cs="Times New Roman"/>
          <w:sz w:val="24"/>
          <w:lang w:val="en-US"/>
        </w:rPr>
        <w:t>(2), 365–383. https://doi.org/10.1037/a0015250</w:t>
      </w:r>
    </w:p>
    <w:p w14:paraId="5B604F10"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lastRenderedPageBreak/>
        <w:t xml:space="preserve">Song, W., &amp; Fox, J. (2016). Playing for love in a romantic video game: Avatar identification, parasocial relationships, and Chinese women’s romantic beliefs. </w:t>
      </w:r>
      <w:r w:rsidRPr="008C6D5E">
        <w:rPr>
          <w:rFonts w:ascii="Times New Roman" w:hAnsi="Times New Roman" w:cs="Times New Roman"/>
          <w:i/>
          <w:iCs/>
          <w:sz w:val="24"/>
          <w:lang w:val="en-US"/>
        </w:rPr>
        <w:t>Mass Communication and Society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19</w:t>
      </w:r>
      <w:r w:rsidRPr="008C6D5E">
        <w:rPr>
          <w:rFonts w:ascii="Times New Roman" w:hAnsi="Times New Roman" w:cs="Times New Roman"/>
          <w:sz w:val="24"/>
          <w:lang w:val="en-US"/>
        </w:rPr>
        <w:t>(2), 197–215. https://doi.org/10.1080/15205436.2015.1077972</w:t>
      </w:r>
    </w:p>
    <w:p w14:paraId="18C5ED42"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Svetieva, E., Zadro, L., Denson, T. F., Dale, E., O’Moore, K., &amp; Zheng, W. Y. (2016). Anger mediates the effect of ostracism on risk-taking. </w:t>
      </w:r>
      <w:r w:rsidRPr="008C6D5E">
        <w:rPr>
          <w:rFonts w:ascii="Times New Roman" w:hAnsi="Times New Roman" w:cs="Times New Roman"/>
          <w:i/>
          <w:iCs/>
          <w:sz w:val="24"/>
          <w:lang w:val="en-US"/>
        </w:rPr>
        <w:t>Journal of Risk Research</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19</w:t>
      </w:r>
      <w:r w:rsidRPr="008C6D5E">
        <w:rPr>
          <w:rFonts w:ascii="Times New Roman" w:hAnsi="Times New Roman" w:cs="Times New Roman"/>
          <w:sz w:val="24"/>
          <w:lang w:val="en-US"/>
        </w:rPr>
        <w:t>(5), 614–631. https://doi.org/10.1080/13669877.2014.1003320</w:t>
      </w:r>
    </w:p>
    <w:p w14:paraId="7C2BCBA6"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Tobin, S. J., McDermott, S., &amp; French, L. (2018). The role of group size in reactions to ostracism and inclusion. </w:t>
      </w:r>
      <w:r w:rsidRPr="008C6D5E">
        <w:rPr>
          <w:rFonts w:ascii="Times New Roman" w:hAnsi="Times New Roman" w:cs="Times New Roman"/>
          <w:i/>
          <w:iCs/>
          <w:sz w:val="24"/>
          <w:lang w:val="en-US"/>
        </w:rPr>
        <w:t>Group Processes &amp; Intergroup Relations</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21</w:t>
      </w:r>
      <w:r w:rsidRPr="008C6D5E">
        <w:rPr>
          <w:rFonts w:ascii="Times New Roman" w:hAnsi="Times New Roman" w:cs="Times New Roman"/>
          <w:sz w:val="24"/>
          <w:lang w:val="en-US"/>
        </w:rPr>
        <w:t>(7), 1014–1033. https://doi.org/10.1177/1368430217702723</w:t>
      </w:r>
    </w:p>
    <w:p w14:paraId="373094DE"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Trepte, S., &amp; Reinecke, L. (2010). Avatar creation and video game enjoyment: Effects of life-satisfaction, game competitiveness, and identification with the avatar. </w:t>
      </w:r>
      <w:r w:rsidRPr="008C6D5E">
        <w:rPr>
          <w:rFonts w:ascii="Times New Roman" w:hAnsi="Times New Roman" w:cs="Times New Roman"/>
          <w:i/>
          <w:iCs/>
          <w:sz w:val="24"/>
          <w:lang w:val="en-US"/>
        </w:rPr>
        <w:t>Journal of Media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22</w:t>
      </w:r>
      <w:r w:rsidRPr="008C6D5E">
        <w:rPr>
          <w:rFonts w:ascii="Times New Roman" w:hAnsi="Times New Roman" w:cs="Times New Roman"/>
          <w:sz w:val="24"/>
          <w:lang w:val="en-US"/>
        </w:rPr>
        <w:t>(4), 171–184. https://doi.org/10.1027/1864-1105/a000022</w:t>
      </w:r>
    </w:p>
    <w:p w14:paraId="5DCBE256"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van Beest, I., &amp; Williams, K. D. (2006). When inclusion costs and ostracism pays, ostracism still hurts. </w:t>
      </w:r>
      <w:r w:rsidRPr="008C6D5E">
        <w:rPr>
          <w:rFonts w:ascii="Times New Roman" w:hAnsi="Times New Roman" w:cs="Times New Roman"/>
          <w:i/>
          <w:iCs/>
          <w:sz w:val="24"/>
          <w:lang w:val="en-US"/>
        </w:rPr>
        <w:t>Journal of Personality and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91</w:t>
      </w:r>
      <w:r w:rsidRPr="008C6D5E">
        <w:rPr>
          <w:rFonts w:ascii="Times New Roman" w:hAnsi="Times New Roman" w:cs="Times New Roman"/>
          <w:sz w:val="24"/>
          <w:lang w:val="en-US"/>
        </w:rPr>
        <w:t>(5), 918–928. https://doi.org/10.1037/0022-3514.91.5.918</w:t>
      </w:r>
    </w:p>
    <w:p w14:paraId="71B6E757"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van Beest, I., Williams, K. D., &amp; van Dijk, E. (2011). Cyberbomb: Effects of being ostracized from a death game. </w:t>
      </w:r>
      <w:r w:rsidRPr="008C6D5E">
        <w:rPr>
          <w:rFonts w:ascii="Times New Roman" w:hAnsi="Times New Roman" w:cs="Times New Roman"/>
          <w:i/>
          <w:iCs/>
          <w:sz w:val="24"/>
          <w:lang w:val="en-US"/>
        </w:rPr>
        <w:t>Group Processes &amp; Intergroup Relations</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14</w:t>
      </w:r>
      <w:r w:rsidRPr="008C6D5E">
        <w:rPr>
          <w:rFonts w:ascii="Times New Roman" w:hAnsi="Times New Roman" w:cs="Times New Roman"/>
          <w:sz w:val="24"/>
          <w:lang w:val="en-US"/>
        </w:rPr>
        <w:t>(4), 581–596. https://doi.org/10.1177/1368430210389084</w:t>
      </w:r>
    </w:p>
    <w:p w14:paraId="10D5D63E"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Wesselmann, E. D., Grzybowski, M. R., Steakly-Freeman, D. M., DeSouza, E. R., Nezlek, J. B., &amp; Williams, K. D. (2016). Social exclusion: Psychological approaches to understanding and reducing its impact. In P. Riva &amp; J. Eck (Eds.), </w:t>
      </w:r>
      <w:r w:rsidRPr="008C6D5E">
        <w:rPr>
          <w:rFonts w:ascii="Times New Roman" w:hAnsi="Times New Roman" w:cs="Times New Roman"/>
          <w:i/>
          <w:iCs/>
          <w:sz w:val="24"/>
          <w:lang w:val="en-US"/>
        </w:rPr>
        <w:t>Social Exclusion: Psychological Approaches to Understanding and Reducing Its Impact</w:t>
      </w:r>
      <w:r w:rsidRPr="008C6D5E">
        <w:rPr>
          <w:rFonts w:ascii="Times New Roman" w:hAnsi="Times New Roman" w:cs="Times New Roman"/>
          <w:sz w:val="24"/>
          <w:lang w:val="en-US"/>
        </w:rPr>
        <w:t xml:space="preserve"> (pp. 3–23). https://doi.org/10.1007/978-3-319-33033-4</w:t>
      </w:r>
    </w:p>
    <w:p w14:paraId="7688AFB5"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lastRenderedPageBreak/>
        <w:t xml:space="preserve">Williams, K. D. (2009). Ostracism: A temporal need-threat model. In M. P. Zanna (Ed.), </w:t>
      </w:r>
      <w:r w:rsidRPr="008C6D5E">
        <w:rPr>
          <w:rFonts w:ascii="Times New Roman" w:hAnsi="Times New Roman" w:cs="Times New Roman"/>
          <w:i/>
          <w:iCs/>
          <w:sz w:val="24"/>
          <w:lang w:val="en-US"/>
        </w:rPr>
        <w:t>Advances in Experimental Social Psychology</w:t>
      </w:r>
      <w:r w:rsidRPr="008C6D5E">
        <w:rPr>
          <w:rFonts w:ascii="Times New Roman" w:hAnsi="Times New Roman" w:cs="Times New Roman"/>
          <w:sz w:val="24"/>
          <w:lang w:val="en-US"/>
        </w:rPr>
        <w:t xml:space="preserve"> (1st ed., Vol. 41, Issue 08, pp. 275–314). Elsevier Inc. https://doi.org/10.1016/S0065-2601(08)00406-1</w:t>
      </w:r>
    </w:p>
    <w:p w14:paraId="74C9B2E1"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Williams, K. D., &amp; Jarvis, B. (2006). Cyberball: A program for use in research on interpersonal ostracism and acceptance. </w:t>
      </w:r>
      <w:r w:rsidRPr="008C6D5E">
        <w:rPr>
          <w:rFonts w:ascii="Times New Roman" w:hAnsi="Times New Roman" w:cs="Times New Roman"/>
          <w:i/>
          <w:iCs/>
          <w:sz w:val="24"/>
          <w:lang w:val="en-US"/>
        </w:rPr>
        <w:t>Behavior Research Methods</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38</w:t>
      </w:r>
      <w:r w:rsidRPr="008C6D5E">
        <w:rPr>
          <w:rFonts w:ascii="Times New Roman" w:hAnsi="Times New Roman" w:cs="Times New Roman"/>
          <w:sz w:val="24"/>
          <w:lang w:val="en-US"/>
        </w:rPr>
        <w:t>(1), 174–180. https://doi.org/10.3758/BF03192765</w:t>
      </w:r>
    </w:p>
    <w:p w14:paraId="78E052F4"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Yaakobi, E., Administration, B., &amp; College, O. A. (2021). </w:t>
      </w:r>
      <w:r w:rsidRPr="008C6D5E">
        <w:rPr>
          <w:rFonts w:ascii="Times New Roman" w:hAnsi="Times New Roman" w:cs="Times New Roman"/>
          <w:i/>
          <w:iCs/>
          <w:sz w:val="24"/>
          <w:lang w:val="en-US"/>
        </w:rPr>
        <w:t>Personality as a moderator of immediate and delayed ostracism distress</w:t>
      </w:r>
      <w:r w:rsidRPr="008C6D5E">
        <w:rPr>
          <w:rFonts w:ascii="Times New Roman" w:hAnsi="Times New Roman" w:cs="Times New Roman"/>
          <w:sz w:val="24"/>
          <w:lang w:val="en-US"/>
        </w:rPr>
        <w:t>. 1–27. https://doi.org/10.1111/bjso.12484</w:t>
      </w:r>
    </w:p>
    <w:p w14:paraId="50DB4629"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Yentes, R., &amp; Wilhelm, F. (2021). </w:t>
      </w:r>
      <w:r w:rsidRPr="008C6D5E">
        <w:rPr>
          <w:rFonts w:ascii="Times New Roman" w:hAnsi="Times New Roman" w:cs="Times New Roman"/>
          <w:i/>
          <w:iCs/>
          <w:sz w:val="24"/>
          <w:lang w:val="en-US"/>
        </w:rPr>
        <w:t>Package ‘ careless ’: Procedures for computing indices of careless responding version</w:t>
      </w:r>
      <w:r w:rsidRPr="008C6D5E">
        <w:rPr>
          <w:rFonts w:ascii="Times New Roman" w:hAnsi="Times New Roman" w:cs="Times New Roman"/>
          <w:sz w:val="24"/>
          <w:lang w:val="en-US"/>
        </w:rPr>
        <w:t>. 1–11. https://doi.org/10.1016/j.jesp.2015.07.006&gt;.License</w:t>
      </w:r>
    </w:p>
    <w:p w14:paraId="071F85EA"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Zadro, L., Boland, C., &amp; Richardson, R. (2006). How long does it last? The persistence of the effects of ostracism in the socially anxious. </w:t>
      </w:r>
      <w:r w:rsidRPr="008C6D5E">
        <w:rPr>
          <w:rFonts w:ascii="Times New Roman" w:hAnsi="Times New Roman" w:cs="Times New Roman"/>
          <w:i/>
          <w:iCs/>
          <w:sz w:val="24"/>
          <w:lang w:val="en-US"/>
        </w:rPr>
        <w:t>Journal of Experimental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42</w:t>
      </w:r>
      <w:r w:rsidRPr="008C6D5E">
        <w:rPr>
          <w:rFonts w:ascii="Times New Roman" w:hAnsi="Times New Roman" w:cs="Times New Roman"/>
          <w:sz w:val="24"/>
          <w:lang w:val="en-US"/>
        </w:rPr>
        <w:t>(5), 692–697. https://doi.org/10.1016/j.jesp.2005.10.007</w:t>
      </w:r>
    </w:p>
    <w:p w14:paraId="5F610E83"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Zadro, L., Williams, K. D., &amp; Richardson, R. (2004). How low can you go? Ostracism by a computer is sufficient to lower self-reported levels of belonging, control, self-esteem, and meaningful existence. </w:t>
      </w:r>
      <w:r w:rsidRPr="008C6D5E">
        <w:rPr>
          <w:rFonts w:ascii="Times New Roman" w:hAnsi="Times New Roman" w:cs="Times New Roman"/>
          <w:i/>
          <w:iCs/>
          <w:sz w:val="24"/>
          <w:lang w:val="en-US"/>
        </w:rPr>
        <w:t>Journal of Experimental Social Psychology</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40</w:t>
      </w:r>
      <w:r w:rsidRPr="008C6D5E">
        <w:rPr>
          <w:rFonts w:ascii="Times New Roman" w:hAnsi="Times New Roman" w:cs="Times New Roman"/>
          <w:sz w:val="24"/>
          <w:lang w:val="en-US"/>
        </w:rPr>
        <w:t>(4), 560–567. https://doi.org/10.1016/j.jesp.2003.11.006</w:t>
      </w:r>
    </w:p>
    <w:p w14:paraId="2976B3BF" w14:textId="77777777" w:rsidR="008C6D5E" w:rsidRPr="008C6D5E" w:rsidRDefault="008C6D5E" w:rsidP="008C6D5E">
      <w:pPr>
        <w:pStyle w:val="Bibliography"/>
        <w:rPr>
          <w:rFonts w:ascii="Times New Roman" w:hAnsi="Times New Roman" w:cs="Times New Roman"/>
          <w:sz w:val="24"/>
          <w:lang w:val="en-US"/>
        </w:rPr>
      </w:pPr>
      <w:r w:rsidRPr="008C6D5E">
        <w:rPr>
          <w:rFonts w:ascii="Times New Roman" w:hAnsi="Times New Roman" w:cs="Times New Roman"/>
          <w:sz w:val="24"/>
          <w:lang w:val="en-US"/>
        </w:rPr>
        <w:t xml:space="preserve">Zadro, L., Williams, K. D., &amp; Richardson, R. (2005). Riding the “O” Train: Comparing the efffects of ostracism and verbal dispute on targets and sources. </w:t>
      </w:r>
      <w:r w:rsidRPr="008C6D5E">
        <w:rPr>
          <w:rFonts w:ascii="Times New Roman" w:hAnsi="Times New Roman" w:cs="Times New Roman"/>
          <w:i/>
          <w:iCs/>
          <w:sz w:val="24"/>
          <w:lang w:val="en-US"/>
        </w:rPr>
        <w:t>Group Processes &amp; Intergroup Relations</w:t>
      </w:r>
      <w:r w:rsidRPr="008C6D5E">
        <w:rPr>
          <w:rFonts w:ascii="Times New Roman" w:hAnsi="Times New Roman" w:cs="Times New Roman"/>
          <w:sz w:val="24"/>
          <w:lang w:val="en-US"/>
        </w:rPr>
        <w:t xml:space="preserve">, </w:t>
      </w:r>
      <w:r w:rsidRPr="008C6D5E">
        <w:rPr>
          <w:rFonts w:ascii="Times New Roman" w:hAnsi="Times New Roman" w:cs="Times New Roman"/>
          <w:i/>
          <w:iCs/>
          <w:sz w:val="24"/>
          <w:lang w:val="en-US"/>
        </w:rPr>
        <w:t>8</w:t>
      </w:r>
      <w:r w:rsidRPr="008C6D5E">
        <w:rPr>
          <w:rFonts w:ascii="Times New Roman" w:hAnsi="Times New Roman" w:cs="Times New Roman"/>
          <w:sz w:val="24"/>
          <w:lang w:val="en-US"/>
        </w:rPr>
        <w:t>(2), 125–143. https://doi.org/10.1177/1368430205051062</w:t>
      </w:r>
    </w:p>
    <w:p w14:paraId="54FD4609" w14:textId="55691A7A" w:rsidR="002547CE" w:rsidRPr="00667940" w:rsidRDefault="002547CE">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37499B2" w14:textId="238F4ECE" w:rsidR="002547CE" w:rsidRPr="00667940" w:rsidRDefault="002547CE">
      <w:pPr>
        <w:widowControl w:val="0"/>
        <w:pBdr>
          <w:top w:val="nil"/>
          <w:left w:val="nil"/>
          <w:bottom w:val="nil"/>
          <w:right w:val="nil"/>
          <w:between w:val="nil"/>
        </w:pBdr>
        <w:rPr>
          <w:rFonts w:ascii="Times New Roman" w:eastAsia="Times New Roman" w:hAnsi="Times New Roman" w:cs="Times New Roman"/>
          <w:sz w:val="24"/>
          <w:szCs w:val="24"/>
        </w:rPr>
      </w:pPr>
    </w:p>
    <w:sectPr w:rsidR="002547CE" w:rsidRPr="00667940">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D73C0" w14:textId="77777777" w:rsidR="00C57DB4" w:rsidRDefault="00C57DB4">
      <w:pPr>
        <w:spacing w:line="240" w:lineRule="auto"/>
      </w:pPr>
      <w:r>
        <w:separator/>
      </w:r>
    </w:p>
  </w:endnote>
  <w:endnote w:type="continuationSeparator" w:id="0">
    <w:p w14:paraId="01043C22" w14:textId="77777777" w:rsidR="00C57DB4" w:rsidRDefault="00C57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F1FB7" w14:textId="77777777" w:rsidR="00C57DB4" w:rsidRDefault="00C57DB4">
      <w:pPr>
        <w:spacing w:line="240" w:lineRule="auto"/>
      </w:pPr>
      <w:r>
        <w:separator/>
      </w:r>
    </w:p>
  </w:footnote>
  <w:footnote w:type="continuationSeparator" w:id="0">
    <w:p w14:paraId="314B102B" w14:textId="77777777" w:rsidR="00C57DB4" w:rsidRDefault="00C57DB4">
      <w:pPr>
        <w:spacing w:line="240" w:lineRule="auto"/>
      </w:pPr>
      <w:r>
        <w:continuationSeparator/>
      </w:r>
    </w:p>
  </w:footnote>
  <w:footnote w:id="1">
    <w:p w14:paraId="5AAB73B8" w14:textId="77777777" w:rsidR="002547CE" w:rsidRDefault="0096142E">
      <w:pPr>
        <w:spacing w:line="240" w:lineRule="auto"/>
        <w:rPr>
          <w:rFonts w:ascii="Times New Roman" w:eastAsia="Times New Roman" w:hAnsi="Times New Roman" w:cs="Times New Roman"/>
          <w:sz w:val="20"/>
          <w:szCs w:val="20"/>
        </w:rPr>
      </w:pPr>
      <w:r w:rsidRPr="00873FFF">
        <w:rPr>
          <w:rStyle w:val="FootnoteReference"/>
        </w:rPr>
        <w:footnoteRef/>
      </w:r>
      <w:r>
        <w:rPr>
          <w:rFonts w:ascii="Times New Roman" w:eastAsia="Times New Roman" w:hAnsi="Times New Roman" w:cs="Times New Roman"/>
          <w:sz w:val="20"/>
          <w:szCs w:val="20"/>
        </w:rPr>
        <w:t xml:space="preserve"> https://www.criticalmass.nl/project/vriendvijand-in-de-klas/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AB88D" w14:textId="1A582B10" w:rsidR="002547CE" w:rsidRDefault="0096142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67940">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0EA5"/>
    <w:multiLevelType w:val="multilevel"/>
    <w:tmpl w:val="12D82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7948BE"/>
    <w:multiLevelType w:val="multilevel"/>
    <w:tmpl w:val="D1FAFC56"/>
    <w:lvl w:ilvl="0">
      <w:start w:val="1"/>
      <w:numFmt w:val="decimal"/>
      <w:lvlText w:val="%1."/>
      <w:lvlJc w:val="left"/>
      <w:pPr>
        <w:ind w:left="360" w:hanging="360"/>
      </w:pPr>
      <w:rPr>
        <w:u w:val="none"/>
      </w:rPr>
    </w:lvl>
    <w:lvl w:ilvl="1">
      <w:start w:val="1"/>
      <w:numFmt w:val="bullet"/>
      <w:lvlText w:val="○"/>
      <w:lvlJc w:val="left"/>
      <w:pPr>
        <w:ind w:left="360" w:firstLine="1080"/>
      </w:pPr>
      <w:rPr>
        <w:u w:val="none"/>
      </w:rPr>
    </w:lvl>
    <w:lvl w:ilvl="2">
      <w:start w:val="1"/>
      <w:numFmt w:val="bullet"/>
      <w:lvlText w:val="■"/>
      <w:lvlJc w:val="left"/>
      <w:pPr>
        <w:ind w:left="1080" w:firstLine="1800"/>
      </w:pPr>
      <w:rPr>
        <w:u w:val="none"/>
      </w:rPr>
    </w:lvl>
    <w:lvl w:ilvl="3">
      <w:start w:val="1"/>
      <w:numFmt w:val="bullet"/>
      <w:lvlText w:val="●"/>
      <w:lvlJc w:val="left"/>
      <w:pPr>
        <w:ind w:left="1800" w:firstLine="2520"/>
      </w:pPr>
      <w:rPr>
        <w:u w:val="none"/>
      </w:rPr>
    </w:lvl>
    <w:lvl w:ilvl="4">
      <w:start w:val="1"/>
      <w:numFmt w:val="bullet"/>
      <w:lvlText w:val="○"/>
      <w:lvlJc w:val="left"/>
      <w:pPr>
        <w:ind w:left="2520" w:firstLine="3240"/>
      </w:pPr>
      <w:rPr>
        <w:u w:val="none"/>
      </w:rPr>
    </w:lvl>
    <w:lvl w:ilvl="5">
      <w:start w:val="1"/>
      <w:numFmt w:val="bullet"/>
      <w:lvlText w:val="■"/>
      <w:lvlJc w:val="left"/>
      <w:pPr>
        <w:ind w:left="3240" w:firstLine="3960"/>
      </w:pPr>
      <w:rPr>
        <w:u w:val="none"/>
      </w:rPr>
    </w:lvl>
    <w:lvl w:ilvl="6">
      <w:start w:val="1"/>
      <w:numFmt w:val="bullet"/>
      <w:lvlText w:val="●"/>
      <w:lvlJc w:val="left"/>
      <w:pPr>
        <w:ind w:left="3960" w:firstLine="4680"/>
      </w:pPr>
      <w:rPr>
        <w:u w:val="none"/>
      </w:rPr>
    </w:lvl>
    <w:lvl w:ilvl="7">
      <w:start w:val="1"/>
      <w:numFmt w:val="bullet"/>
      <w:lvlText w:val="○"/>
      <w:lvlJc w:val="left"/>
      <w:pPr>
        <w:ind w:left="4680" w:firstLine="5400"/>
      </w:pPr>
      <w:rPr>
        <w:u w:val="none"/>
      </w:rPr>
    </w:lvl>
    <w:lvl w:ilvl="8">
      <w:start w:val="1"/>
      <w:numFmt w:val="bullet"/>
      <w:lvlText w:val="■"/>
      <w:lvlJc w:val="left"/>
      <w:pPr>
        <w:ind w:left="5400" w:firstLine="6120"/>
      </w:pPr>
      <w:rPr>
        <w:u w:val="none"/>
      </w:rPr>
    </w:lvl>
  </w:abstractNum>
  <w:abstractNum w:abstractNumId="2" w15:restartNumberingAfterBreak="0">
    <w:nsid w:val="6F282BD4"/>
    <w:multiLevelType w:val="multilevel"/>
    <w:tmpl w:val="397EF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F83784"/>
    <w:multiLevelType w:val="multilevel"/>
    <w:tmpl w:val="620E388E"/>
    <w:lvl w:ilvl="0">
      <w:start w:val="1"/>
      <w:numFmt w:val="decimal"/>
      <w:lvlText w:val="%1."/>
      <w:lvlJc w:val="left"/>
      <w:pPr>
        <w:ind w:left="720" w:hanging="360"/>
      </w:pPr>
      <w:rPr>
        <w:rFonts w:hint="default"/>
        <w:b/>
        <w:bCs/>
      </w:rPr>
    </w:lvl>
    <w:lvl w:ilvl="1">
      <w:start w:val="1"/>
      <w:numFmt w:val="decimal"/>
      <w:pStyle w:val="Heading1"/>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71034A5A"/>
    <w:multiLevelType w:val="multilevel"/>
    <w:tmpl w:val="570486E8"/>
    <w:lvl w:ilvl="0">
      <w:start w:val="1"/>
      <w:numFmt w:val="decimal"/>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7285802">
    <w:abstractNumId w:val="4"/>
  </w:num>
  <w:num w:numId="2" w16cid:durableId="2138067021">
    <w:abstractNumId w:val="0"/>
  </w:num>
  <w:num w:numId="3" w16cid:durableId="1173447267">
    <w:abstractNumId w:val="2"/>
  </w:num>
  <w:num w:numId="4" w16cid:durableId="1249464617">
    <w:abstractNumId w:val="1"/>
  </w:num>
  <w:num w:numId="5" w16cid:durableId="2025665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7CE"/>
    <w:rsid w:val="00014791"/>
    <w:rsid w:val="0001537C"/>
    <w:rsid w:val="00067C49"/>
    <w:rsid w:val="0007112F"/>
    <w:rsid w:val="000F732D"/>
    <w:rsid w:val="0010126C"/>
    <w:rsid w:val="002547CE"/>
    <w:rsid w:val="002649C8"/>
    <w:rsid w:val="00272960"/>
    <w:rsid w:val="0034410F"/>
    <w:rsid w:val="004E4865"/>
    <w:rsid w:val="00501476"/>
    <w:rsid w:val="00533D6E"/>
    <w:rsid w:val="00634F8B"/>
    <w:rsid w:val="00667940"/>
    <w:rsid w:val="006C5602"/>
    <w:rsid w:val="00873A92"/>
    <w:rsid w:val="00873FFF"/>
    <w:rsid w:val="008C6D5E"/>
    <w:rsid w:val="00920DE8"/>
    <w:rsid w:val="0096142E"/>
    <w:rsid w:val="009A7241"/>
    <w:rsid w:val="00B55306"/>
    <w:rsid w:val="00C139CE"/>
    <w:rsid w:val="00C170E9"/>
    <w:rsid w:val="00C57DB4"/>
    <w:rsid w:val="00C97F57"/>
    <w:rsid w:val="00CA78B1"/>
    <w:rsid w:val="00CB1471"/>
    <w:rsid w:val="00DE6E15"/>
    <w:rsid w:val="00E26AAF"/>
    <w:rsid w:val="00E3401C"/>
    <w:rsid w:val="00EE2028"/>
    <w:rsid w:val="00F361AB"/>
    <w:rsid w:val="00F414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3FBC411"/>
  <w15:docId w15:val="{5923C5BC-824A-664C-AF7A-A2C2609B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1537C"/>
    <w:pPr>
      <w:keepNext/>
      <w:keepLines/>
      <w:numPr>
        <w:ilvl w:val="1"/>
        <w:numId w:val="5"/>
      </w:numPr>
      <w:spacing w:line="48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01537C"/>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rsid w:val="0001537C"/>
    <w:pPr>
      <w:keepNext/>
      <w:keepLines/>
      <w:spacing w:line="480" w:lineRule="auto"/>
      <w:outlineLvl w:val="2"/>
    </w:pPr>
    <w:rPr>
      <w:rFonts w:ascii="Times New Roman" w:eastAsia="Times New Roman" w:hAnsi="Times New Roman" w:cs="Times New Roman"/>
      <w:b/>
      <w:i/>
      <w:color w:val="000000"/>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Bibliography">
    <w:name w:val="Bibliography"/>
    <w:basedOn w:val="Normal"/>
    <w:next w:val="Normal"/>
    <w:uiPriority w:val="37"/>
    <w:unhideWhenUsed/>
    <w:rsid w:val="00667940"/>
    <w:pPr>
      <w:spacing w:line="480" w:lineRule="auto"/>
      <w:ind w:left="720" w:hanging="720"/>
    </w:pPr>
  </w:style>
  <w:style w:type="paragraph" w:styleId="Revision">
    <w:name w:val="Revision"/>
    <w:hidden/>
    <w:uiPriority w:val="99"/>
    <w:semiHidden/>
    <w:rsid w:val="00F361AB"/>
    <w:pPr>
      <w:spacing w:line="240" w:lineRule="auto"/>
    </w:pPr>
  </w:style>
  <w:style w:type="paragraph" w:styleId="BalloonText">
    <w:name w:val="Balloon Text"/>
    <w:basedOn w:val="Normal"/>
    <w:link w:val="BalloonTextChar"/>
    <w:uiPriority w:val="99"/>
    <w:semiHidden/>
    <w:unhideWhenUsed/>
    <w:rsid w:val="0001479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479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26AAF"/>
    <w:rPr>
      <w:sz w:val="16"/>
      <w:szCs w:val="16"/>
    </w:rPr>
  </w:style>
  <w:style w:type="paragraph" w:styleId="CommentText">
    <w:name w:val="annotation text"/>
    <w:basedOn w:val="Normal"/>
    <w:link w:val="CommentTextChar"/>
    <w:uiPriority w:val="99"/>
    <w:semiHidden/>
    <w:unhideWhenUsed/>
    <w:rsid w:val="00E26AAF"/>
    <w:pPr>
      <w:spacing w:line="240" w:lineRule="auto"/>
    </w:pPr>
    <w:rPr>
      <w:sz w:val="20"/>
      <w:szCs w:val="20"/>
    </w:rPr>
  </w:style>
  <w:style w:type="character" w:customStyle="1" w:styleId="CommentTextChar">
    <w:name w:val="Comment Text Char"/>
    <w:basedOn w:val="DefaultParagraphFont"/>
    <w:link w:val="CommentText"/>
    <w:uiPriority w:val="99"/>
    <w:semiHidden/>
    <w:rsid w:val="00E26AAF"/>
    <w:rPr>
      <w:sz w:val="20"/>
      <w:szCs w:val="20"/>
    </w:rPr>
  </w:style>
  <w:style w:type="paragraph" w:styleId="CommentSubject">
    <w:name w:val="annotation subject"/>
    <w:basedOn w:val="CommentText"/>
    <w:next w:val="CommentText"/>
    <w:link w:val="CommentSubjectChar"/>
    <w:uiPriority w:val="99"/>
    <w:semiHidden/>
    <w:unhideWhenUsed/>
    <w:rsid w:val="00E26AAF"/>
    <w:rPr>
      <w:b/>
      <w:bCs/>
    </w:rPr>
  </w:style>
  <w:style w:type="character" w:customStyle="1" w:styleId="CommentSubjectChar">
    <w:name w:val="Comment Subject Char"/>
    <w:basedOn w:val="CommentTextChar"/>
    <w:link w:val="CommentSubject"/>
    <w:uiPriority w:val="99"/>
    <w:semiHidden/>
    <w:rsid w:val="00E26AAF"/>
    <w:rPr>
      <w:b/>
      <w:bCs/>
      <w:sz w:val="20"/>
      <w:szCs w:val="20"/>
    </w:rPr>
  </w:style>
  <w:style w:type="character" w:styleId="EndnoteReference">
    <w:name w:val="endnote reference"/>
    <w:basedOn w:val="DefaultParagraphFont"/>
    <w:uiPriority w:val="99"/>
    <w:semiHidden/>
    <w:unhideWhenUsed/>
    <w:rsid w:val="00B55306"/>
    <w:rPr>
      <w:vertAlign w:val="superscript"/>
    </w:rPr>
  </w:style>
  <w:style w:type="character" w:styleId="FootnoteReference">
    <w:name w:val="footnote reference"/>
    <w:basedOn w:val="DefaultParagraphFont"/>
    <w:uiPriority w:val="99"/>
    <w:semiHidden/>
    <w:unhideWhenUsed/>
    <w:rsid w:val="00B55306"/>
    <w:rPr>
      <w:vertAlign w:val="superscript"/>
    </w:rPr>
  </w:style>
  <w:style w:type="paragraph" w:styleId="Header">
    <w:name w:val="header"/>
    <w:basedOn w:val="Normal"/>
    <w:link w:val="HeaderChar"/>
    <w:uiPriority w:val="99"/>
    <w:unhideWhenUsed/>
    <w:rsid w:val="00F41429"/>
    <w:pPr>
      <w:tabs>
        <w:tab w:val="center" w:pos="4513"/>
        <w:tab w:val="right" w:pos="9026"/>
      </w:tabs>
      <w:spacing w:line="240" w:lineRule="auto"/>
    </w:pPr>
  </w:style>
  <w:style w:type="character" w:customStyle="1" w:styleId="HeaderChar">
    <w:name w:val="Header Char"/>
    <w:basedOn w:val="DefaultParagraphFont"/>
    <w:link w:val="Header"/>
    <w:uiPriority w:val="99"/>
    <w:rsid w:val="00F41429"/>
  </w:style>
  <w:style w:type="paragraph" w:styleId="Footer">
    <w:name w:val="footer"/>
    <w:basedOn w:val="Normal"/>
    <w:link w:val="FooterChar"/>
    <w:uiPriority w:val="99"/>
    <w:unhideWhenUsed/>
    <w:rsid w:val="00F41429"/>
    <w:pPr>
      <w:tabs>
        <w:tab w:val="center" w:pos="4513"/>
        <w:tab w:val="right" w:pos="9026"/>
      </w:tabs>
      <w:spacing w:line="240" w:lineRule="auto"/>
    </w:pPr>
  </w:style>
  <w:style w:type="character" w:customStyle="1" w:styleId="FooterChar">
    <w:name w:val="Footer Char"/>
    <w:basedOn w:val="DefaultParagraphFont"/>
    <w:link w:val="Footer"/>
    <w:uiPriority w:val="99"/>
    <w:rsid w:val="00F41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4784</Words>
  <Characters>27270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Erdem Meral</cp:lastModifiedBy>
  <cp:revision>23</cp:revision>
  <dcterms:created xsi:type="dcterms:W3CDTF">2022-08-19T12:20:00Z</dcterms:created>
  <dcterms:modified xsi:type="dcterms:W3CDTF">2022-12-15T09:46:00Z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{"style":{"styleID":"http://www.zotero.org/styles/apa","locale":"en-US","hasBibliography":true,"bibliographyStyleHasBeenSet":true},"prefs":{"fieldType":"Field","automaticJournalAbbreviations":true,"delayCitationUpdates":false,"noteType":0},"sessionID":"ed</vt:lpwstr>
  </property>
  <property fmtid="{D5CDD505-2E9C-101B-9397-08002B2CF9AE}" pid="3" name="ZOTERO_PREF_2">
    <vt:lpwstr>fmE09u","zoteroVersion":"6.0.13-beta.2+3abd72095","dataVersion":4}</vt:lpwstr>
  </property>
</Properties>
</file>