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3E8" w:rsidRDefault="009D53E8" w:rsidP="00772C9C">
      <w:pPr>
        <w:jc w:val="center"/>
        <w:rPr>
          <w:b/>
        </w:rPr>
      </w:pPr>
      <w:r w:rsidRPr="009D53E8">
        <w:rPr>
          <w:b/>
        </w:rPr>
        <w:t>Supplementary Information</w:t>
      </w:r>
    </w:p>
    <w:p w:rsidR="00615DB9" w:rsidRDefault="00615DB9" w:rsidP="00772C9C">
      <w:pPr>
        <w:jc w:val="center"/>
        <w:rPr>
          <w:b/>
        </w:rPr>
      </w:pPr>
    </w:p>
    <w:p w:rsidR="00615DB9" w:rsidRDefault="00615DB9" w:rsidP="00772C9C">
      <w:pPr>
        <w:jc w:val="center"/>
        <w:rPr>
          <w:b/>
        </w:rPr>
      </w:pPr>
      <w:r>
        <w:rPr>
          <w:b/>
        </w:rPr>
        <w:t>Study 1</w:t>
      </w:r>
    </w:p>
    <w:p w:rsidR="00772C9C" w:rsidRDefault="00772C9C" w:rsidP="00772C9C">
      <w:pPr>
        <w:rPr>
          <w:b/>
        </w:rPr>
      </w:pPr>
      <w:r>
        <w:rPr>
          <w:b/>
        </w:rPr>
        <w:t xml:space="preserve">Career-stage differences (or, similarities). </w:t>
      </w:r>
    </w:p>
    <w:p w:rsidR="00772C9C" w:rsidRPr="00772C9C" w:rsidRDefault="00772C9C" w:rsidP="00772C9C">
      <w:pPr>
        <w:ind w:firstLine="720"/>
      </w:pPr>
      <w:r w:rsidRPr="00772C9C">
        <w:rPr>
          <w:b/>
        </w:rPr>
        <w:t>Is the field more replicable now than it was 10 years ago?</w:t>
      </w:r>
      <w:r w:rsidRPr="00772C9C">
        <w:rPr>
          <w:i/>
        </w:rPr>
        <w:t xml:space="preserve"> </w:t>
      </w:r>
      <w:r w:rsidRPr="00772C9C">
        <w:t xml:space="preserve">Fifty percent of participants answered “yes” when asked if the field was more replicable now than it was 10 years ago. Perceptions of improved replicability over time, however, varied as a function of career stage, </w:t>
      </w:r>
      <w:r w:rsidRPr="00772C9C">
        <w:sym w:font="Symbol" w:char="F063"/>
      </w:r>
      <w:r w:rsidRPr="00772C9C">
        <w:rPr>
          <w:vertAlign w:val="superscript"/>
        </w:rPr>
        <w:t>2</w:t>
      </w:r>
      <w:r w:rsidRPr="00772C9C">
        <w:t xml:space="preserve">(4, </w:t>
      </w:r>
      <w:r w:rsidRPr="00772C9C">
        <w:rPr>
          <w:i/>
        </w:rPr>
        <w:t>N</w:t>
      </w:r>
      <w:r w:rsidRPr="00772C9C">
        <w:t xml:space="preserve"> = 920) = 24.10, </w:t>
      </w:r>
      <w:r w:rsidRPr="00772C9C">
        <w:rPr>
          <w:i/>
        </w:rPr>
        <w:t>p</w:t>
      </w:r>
      <w:r w:rsidRPr="00772C9C">
        <w:t xml:space="preserve"> &lt; .001, </w:t>
      </w:r>
      <w:r w:rsidRPr="00772C9C">
        <w:rPr>
          <w:i/>
        </w:rPr>
        <w:t>Cramer’s V = .16</w:t>
      </w:r>
      <w:r w:rsidRPr="00772C9C">
        <w:t>. Graduate students and associate professors were most likely to believe that replicability improved over time (58% and 53%, respectively), followed by non-tenure track PhDs and assistant professors (each at 48%). Full professors were markedly the least likely to believe replicability improved over time (35%).</w:t>
      </w:r>
    </w:p>
    <w:p w:rsidR="00772C9C" w:rsidRPr="00772C9C" w:rsidRDefault="00772C9C" w:rsidP="00772C9C">
      <w:pPr>
        <w:ind w:firstLine="720"/>
      </w:pPr>
      <w:r w:rsidRPr="00772C9C">
        <w:rPr>
          <w:b/>
        </w:rPr>
        <w:t>Confidence.</w:t>
      </w:r>
      <w:r w:rsidRPr="00772C9C">
        <w:rPr>
          <w:i/>
        </w:rPr>
        <w:t xml:space="preserve"> </w:t>
      </w:r>
      <w:r w:rsidRPr="00772C9C">
        <w:t xml:space="preserve">On average, participants’ confidence that the majority of findings in social psychology will replicate was </w:t>
      </w:r>
      <w:r w:rsidRPr="00772C9C">
        <w:rPr>
          <w:i/>
        </w:rPr>
        <w:t>M</w:t>
      </w:r>
      <w:r w:rsidRPr="00772C9C">
        <w:t xml:space="preserve"> = 2.04, </w:t>
      </w:r>
      <w:r w:rsidRPr="00772C9C">
        <w:rPr>
          <w:i/>
        </w:rPr>
        <w:t xml:space="preserve">SD = </w:t>
      </w:r>
      <w:r w:rsidRPr="00772C9C">
        <w:t xml:space="preserve">0.83, which registered just over </w:t>
      </w:r>
      <w:r w:rsidRPr="00772C9C">
        <w:rPr>
          <w:i/>
        </w:rPr>
        <w:t>slightly confident.</w:t>
      </w:r>
      <w:r w:rsidRPr="00772C9C">
        <w:t xml:space="preserve"> Confidence that the majority of findings will replicate was moderated by career stage, </w:t>
      </w:r>
      <w:r w:rsidRPr="00772C9C">
        <w:rPr>
          <w:i/>
        </w:rPr>
        <w:t>F</w:t>
      </w:r>
      <w:r w:rsidRPr="00772C9C">
        <w:t xml:space="preserve">(4, 925) = 2.78, </w:t>
      </w:r>
      <w:r w:rsidRPr="00772C9C">
        <w:rPr>
          <w:i/>
        </w:rPr>
        <w:t>p</w:t>
      </w:r>
      <w:r w:rsidRPr="00772C9C">
        <w:t xml:space="preserve"> = .03, </w:t>
      </w:r>
      <w:r w:rsidRPr="00772C9C">
        <w:rPr>
          <w:color w:val="000000"/>
        </w:rPr>
        <w:t>ω</w:t>
      </w:r>
      <w:r w:rsidRPr="00772C9C">
        <w:rPr>
          <w:color w:val="000000"/>
          <w:vertAlign w:val="superscript"/>
        </w:rPr>
        <w:t>2</w:t>
      </w:r>
      <w:r w:rsidRPr="00772C9C">
        <w:t xml:space="preserve"> =.01. Tukey tests indicated that non-tenure track PhDs were the least confident (</w:t>
      </w:r>
      <w:r w:rsidRPr="00772C9C">
        <w:rPr>
          <w:i/>
        </w:rPr>
        <w:t xml:space="preserve">M </w:t>
      </w:r>
      <w:r w:rsidRPr="00772C9C">
        <w:t xml:space="preserve">= 1.96, </w:t>
      </w:r>
      <w:r w:rsidRPr="00772C9C">
        <w:rPr>
          <w:i/>
        </w:rPr>
        <w:t>SD</w:t>
      </w:r>
      <w:r w:rsidRPr="00772C9C">
        <w:t xml:space="preserve"> = 0.77) and ful</w:t>
      </w:r>
      <w:r w:rsidRPr="00772C9C">
        <w:t>l professors the most confident</w:t>
      </w:r>
      <w:r w:rsidRPr="00772C9C">
        <w:t xml:space="preserve"> (</w:t>
      </w:r>
      <w:r w:rsidRPr="00772C9C">
        <w:rPr>
          <w:i/>
        </w:rPr>
        <w:t>M</w:t>
      </w:r>
      <w:r w:rsidRPr="00772C9C">
        <w:t xml:space="preserve"> = 2.17, </w:t>
      </w:r>
      <w:r w:rsidRPr="00772C9C">
        <w:rPr>
          <w:i/>
        </w:rPr>
        <w:t>SD</w:t>
      </w:r>
      <w:r w:rsidRPr="00772C9C">
        <w:t xml:space="preserve"> = 0.93) that the majority of findings would replicate. Graduate students, assistant professors, and associate professors fell between these two groups and were statistically indistinguishable. </w:t>
      </w:r>
    </w:p>
    <w:p w:rsidR="00772C9C" w:rsidRPr="00772C9C" w:rsidRDefault="00772C9C" w:rsidP="00772C9C">
      <w:pPr>
        <w:ind w:firstLine="720"/>
      </w:pPr>
      <w:r w:rsidRPr="00772C9C">
        <w:rPr>
          <w:b/>
        </w:rPr>
        <w:t>Attitudes toward the status of our science conversation.</w:t>
      </w:r>
      <w:r w:rsidRPr="00772C9C">
        <w:t xml:space="preserve"> On average, participants’ perception that the status of our science discussion has been a good or bad thing was </w:t>
      </w:r>
      <w:r w:rsidRPr="00772C9C">
        <w:rPr>
          <w:i/>
        </w:rPr>
        <w:t>M</w:t>
      </w:r>
      <w:r w:rsidRPr="00772C9C">
        <w:t xml:space="preserve"> = 4.34 (</w:t>
      </w:r>
      <w:r w:rsidRPr="00772C9C">
        <w:rPr>
          <w:i/>
        </w:rPr>
        <w:t>SD</w:t>
      </w:r>
      <w:r w:rsidRPr="00772C9C">
        <w:t xml:space="preserve"> = 1.50) or roughly the </w:t>
      </w:r>
      <w:r w:rsidRPr="00772C9C">
        <w:rPr>
          <w:i/>
        </w:rPr>
        <w:t>neither good nor bad</w:t>
      </w:r>
      <w:r w:rsidRPr="00772C9C">
        <w:t xml:space="preserve"> response option. This perception was not qualified by stage of career, </w:t>
      </w:r>
      <w:r w:rsidRPr="00772C9C">
        <w:rPr>
          <w:i/>
        </w:rPr>
        <w:t>F</w:t>
      </w:r>
      <w:r w:rsidRPr="00772C9C">
        <w:t xml:space="preserve">(4, 924) = 2.23, </w:t>
      </w:r>
      <w:r w:rsidRPr="00772C9C">
        <w:rPr>
          <w:i/>
        </w:rPr>
        <w:t>p</w:t>
      </w:r>
      <w:r w:rsidRPr="00772C9C">
        <w:t xml:space="preserve"> = .06, </w:t>
      </w:r>
      <w:r w:rsidRPr="00772C9C">
        <w:rPr>
          <w:color w:val="000000"/>
        </w:rPr>
        <w:t>ω</w:t>
      </w:r>
      <w:r w:rsidRPr="00772C9C">
        <w:rPr>
          <w:color w:val="000000"/>
          <w:vertAlign w:val="superscript"/>
        </w:rPr>
        <w:t>2</w:t>
      </w:r>
      <w:r w:rsidRPr="00772C9C">
        <w:t xml:space="preserve"> &lt;  .01.</w:t>
      </w:r>
    </w:p>
    <w:p w:rsidR="00772C9C" w:rsidRPr="00772C9C" w:rsidRDefault="00772C9C" w:rsidP="00772C9C">
      <w:pPr>
        <w:ind w:firstLine="720"/>
      </w:pPr>
      <w:r w:rsidRPr="00772C9C">
        <w:rPr>
          <w:b/>
        </w:rPr>
        <w:t>Has the discussion improved research?</w:t>
      </w:r>
      <w:r w:rsidRPr="00772C9C">
        <w:t xml:space="preserve"> The average perception that the status of our science discussion had improved research in the field was </w:t>
      </w:r>
      <w:r w:rsidRPr="00772C9C">
        <w:rPr>
          <w:i/>
        </w:rPr>
        <w:t>M</w:t>
      </w:r>
      <w:r w:rsidRPr="00772C9C">
        <w:t xml:space="preserve"> = 2.78 (</w:t>
      </w:r>
      <w:r w:rsidRPr="00772C9C">
        <w:rPr>
          <w:i/>
        </w:rPr>
        <w:t>SD</w:t>
      </w:r>
      <w:r w:rsidRPr="00772C9C">
        <w:t xml:space="preserve"> = 0.96), or slightly less than </w:t>
      </w:r>
      <w:r w:rsidRPr="00772C9C">
        <w:rPr>
          <w:i/>
        </w:rPr>
        <w:t>moderately</w:t>
      </w:r>
      <w:r w:rsidRPr="00772C9C">
        <w:t xml:space="preserve">. The perception that the discussion has led to some improvement of research was not qualified by stage of career, </w:t>
      </w:r>
      <w:r w:rsidRPr="00772C9C">
        <w:rPr>
          <w:i/>
        </w:rPr>
        <w:t>F</w:t>
      </w:r>
      <w:r w:rsidRPr="00772C9C">
        <w:t xml:space="preserve">(4, 925) = 1.66, </w:t>
      </w:r>
      <w:r w:rsidRPr="00772C9C">
        <w:rPr>
          <w:i/>
        </w:rPr>
        <w:t>p</w:t>
      </w:r>
      <w:r w:rsidRPr="00772C9C">
        <w:t xml:space="preserve"> = .12, </w:t>
      </w:r>
      <w:r w:rsidRPr="00772C9C">
        <w:rPr>
          <w:color w:val="000000"/>
        </w:rPr>
        <w:t>ω</w:t>
      </w:r>
      <w:r w:rsidRPr="00772C9C">
        <w:rPr>
          <w:color w:val="000000"/>
          <w:vertAlign w:val="superscript"/>
        </w:rPr>
        <w:t>2</w:t>
      </w:r>
      <w:r w:rsidRPr="00772C9C">
        <w:t xml:space="preserve"> &lt;  .01.</w:t>
      </w:r>
    </w:p>
    <w:p w:rsidR="00772C9C" w:rsidRPr="00772C9C" w:rsidRDefault="00772C9C" w:rsidP="00772C9C">
      <w:pPr>
        <w:ind w:firstLine="720"/>
      </w:pPr>
      <w:r w:rsidRPr="00772C9C">
        <w:rPr>
          <w:b/>
        </w:rPr>
        <w:t>Has the discussion changed the way you do research?</w:t>
      </w:r>
      <w:r w:rsidRPr="00772C9C">
        <w:t xml:space="preserve"> Participants reported a moderate change in the way that they do research as a result of the status of our science discussion, </w:t>
      </w:r>
      <w:r w:rsidRPr="00772C9C">
        <w:rPr>
          <w:i/>
        </w:rPr>
        <w:t>M</w:t>
      </w:r>
      <w:r w:rsidRPr="00772C9C">
        <w:t xml:space="preserve"> = 2.83, </w:t>
      </w:r>
      <w:r w:rsidRPr="00772C9C">
        <w:rPr>
          <w:i/>
        </w:rPr>
        <w:t>SD</w:t>
      </w:r>
      <w:r w:rsidRPr="00772C9C">
        <w:t xml:space="preserve"> = 1.12, a result that was qualified by stage of career, </w:t>
      </w:r>
      <w:r w:rsidRPr="00772C9C">
        <w:rPr>
          <w:i/>
        </w:rPr>
        <w:t>F</w:t>
      </w:r>
      <w:r w:rsidRPr="00772C9C">
        <w:t xml:space="preserve">(4, 923) = 8.53, </w:t>
      </w:r>
      <w:r w:rsidRPr="00772C9C">
        <w:rPr>
          <w:i/>
        </w:rPr>
        <w:t>p</w:t>
      </w:r>
      <w:r w:rsidRPr="00772C9C">
        <w:t xml:space="preserve"> &lt; .001, </w:t>
      </w:r>
      <w:r w:rsidRPr="00772C9C">
        <w:rPr>
          <w:color w:val="000000"/>
        </w:rPr>
        <w:t>ω</w:t>
      </w:r>
      <w:r w:rsidRPr="00772C9C">
        <w:rPr>
          <w:color w:val="000000"/>
          <w:vertAlign w:val="superscript"/>
        </w:rPr>
        <w:t>2</w:t>
      </w:r>
      <w:r w:rsidRPr="00772C9C">
        <w:t xml:space="preserve"> &lt;  .01. Tukey tests indicated that full professors were least likely (</w:t>
      </w:r>
      <w:r w:rsidRPr="00772C9C">
        <w:rPr>
          <w:i/>
        </w:rPr>
        <w:t>M</w:t>
      </w:r>
      <w:r w:rsidRPr="00772C9C">
        <w:t xml:space="preserve"> = 2.59, </w:t>
      </w:r>
      <w:r w:rsidRPr="00772C9C">
        <w:rPr>
          <w:i/>
        </w:rPr>
        <w:t>SD</w:t>
      </w:r>
      <w:r w:rsidRPr="00772C9C">
        <w:t xml:space="preserve"> = 1.17) and graduate students were most likely (</w:t>
      </w:r>
      <w:r w:rsidRPr="00772C9C">
        <w:rPr>
          <w:i/>
        </w:rPr>
        <w:t>M</w:t>
      </w:r>
      <w:r w:rsidRPr="00772C9C">
        <w:t xml:space="preserve"> = 3.08, </w:t>
      </w:r>
      <w:r w:rsidRPr="00772C9C">
        <w:rPr>
          <w:i/>
        </w:rPr>
        <w:t>SD</w:t>
      </w:r>
      <w:r w:rsidRPr="00772C9C">
        <w:t xml:space="preserve"> = 1.03) to report that they changed the way they do research given the status of our science discussion. Non-tenure track PhDs, assistant professors, and associate professors fell between these two groups and were statistically indistinguishable.</w:t>
      </w:r>
    </w:p>
    <w:p w:rsidR="00772C9C" w:rsidRPr="00772C9C" w:rsidRDefault="00772C9C" w:rsidP="00772C9C">
      <w:r w:rsidRPr="00772C9C">
        <w:tab/>
        <w:t>…</w:t>
      </w:r>
    </w:p>
    <w:p w:rsidR="00772C9C" w:rsidRDefault="00772C9C" w:rsidP="00772C9C">
      <w:r w:rsidRPr="00772C9C">
        <w:rPr>
          <w:b/>
        </w:rPr>
        <w:t>Intentions to change</w:t>
      </w:r>
      <w:r w:rsidRPr="00772C9C">
        <w:rPr>
          <w:b/>
          <w:i/>
        </w:rPr>
        <w:t>.</w:t>
      </w:r>
      <w:r w:rsidRPr="00772C9C">
        <w:rPr>
          <w:b/>
        </w:rPr>
        <w:t xml:space="preserve"> </w:t>
      </w:r>
      <w:r w:rsidRPr="00772C9C">
        <w:t xml:space="preserve">The practices that participants reported as most acceptable (i.e., not making data publicly available, not conducting power analyses, and not pre-registering hypotheses) were interestingly also the practices participants’ reported they were most likely to change in response to the status of our science discussion. As can be seen in Figure 4, 50% or more of participants reported that their intentions to make data publicly available, conduct power analyses, and to report effect sizes have increased as a result of the status of our science discussion. Many participants also reported that their intentions to engage in various QRPs have decreased as a function of the status of our science conversation (see Figure for more detail). As can be in seen in the figure below, graduate students were the most likely to report that their intentions to use QRPs had decreased as a function of the ongoing conversation about best </w:t>
      </w:r>
      <w:r w:rsidRPr="00772C9C">
        <w:lastRenderedPageBreak/>
        <w:t>practices. In contrast, full professors were the least likely to repo</w:t>
      </w:r>
      <w:bookmarkStart w:id="0" w:name="_GoBack"/>
      <w:bookmarkEnd w:id="0"/>
      <w:r w:rsidRPr="00772C9C">
        <w:t>rt an intention to increase their use of “best” practices, relative to researchers at other career stages.</w:t>
      </w:r>
    </w:p>
    <w:p w:rsidR="00615DB9" w:rsidRDefault="00615DB9" w:rsidP="00772C9C">
      <w:pPr>
        <w:rPr>
          <w:b/>
        </w:rPr>
      </w:pPr>
    </w:p>
    <w:p w:rsidR="00615DB9" w:rsidRDefault="00615DB9" w:rsidP="00772C9C">
      <w:pPr>
        <w:jc w:val="center"/>
        <w:rPr>
          <w:b/>
        </w:rPr>
      </w:pPr>
    </w:p>
    <w:p w:rsidR="009D53E8" w:rsidRDefault="009D53E8" w:rsidP="00772C9C">
      <w:pPr>
        <w:jc w:val="center"/>
        <w:rPr>
          <w:b/>
        </w:rPr>
      </w:pPr>
      <w:r>
        <w:rPr>
          <w:b/>
        </w:rPr>
        <w:t>Study 2</w:t>
      </w:r>
    </w:p>
    <w:p w:rsidR="006C3EF8" w:rsidRDefault="006C3EF8" w:rsidP="00772C9C">
      <w:pPr>
        <w:rPr>
          <w:b/>
        </w:rPr>
      </w:pPr>
    </w:p>
    <w:p w:rsidR="006C3EF8" w:rsidRDefault="006C3EF8" w:rsidP="00772C9C">
      <w:pPr>
        <w:rPr>
          <w:b/>
        </w:rPr>
      </w:pPr>
      <w:r>
        <w:rPr>
          <w:b/>
        </w:rPr>
        <w:t>Design Information</w:t>
      </w:r>
    </w:p>
    <w:p w:rsidR="006C3EF8" w:rsidRDefault="006C3EF8" w:rsidP="00772C9C">
      <w:pPr>
        <w:rPr>
          <w:b/>
        </w:rPr>
      </w:pPr>
      <w:r>
        <w:rPr>
          <w:b/>
        </w:rPr>
        <w:tab/>
      </w:r>
      <w:r w:rsidR="000C6C47" w:rsidRPr="000C6C47">
        <w:t>Table S1 summarizes the types of designs reported over all types of studies conducted (correlational, experimental, and quasi-experimental)</w:t>
      </w:r>
      <w:r w:rsidR="000C6C47">
        <w:t xml:space="preserve">.  In Table S2, we removed </w:t>
      </w:r>
      <w:r w:rsidR="000C6C47" w:rsidRPr="000C6C47">
        <w:t>correlational</w:t>
      </w:r>
      <w:r w:rsidR="000C6C47">
        <w:t xml:space="preserve"> studies (10.10% and 15.17% for 2003-2004 and 2013-2014, respectively) most of the studies which we could not code the design type was removed. In summary, most of the studies (about 70%) in our sample were between-subject designs.     </w:t>
      </w:r>
    </w:p>
    <w:p w:rsidR="006C3EF8" w:rsidRDefault="006C3EF8" w:rsidP="00772C9C">
      <w:pPr>
        <w:rPr>
          <w:b/>
        </w:rPr>
      </w:pPr>
    </w:p>
    <w:p w:rsidR="006C3EF8" w:rsidRPr="00E3359B" w:rsidRDefault="006C3EF8" w:rsidP="00772C9C">
      <w:r w:rsidRPr="00E3359B">
        <w:t xml:space="preserve">Table </w:t>
      </w:r>
      <w:r>
        <w:t>S1</w:t>
      </w:r>
      <w:r w:rsidRPr="00E3359B">
        <w:t>.</w:t>
      </w:r>
    </w:p>
    <w:p w:rsidR="006C3EF8" w:rsidRPr="00E3359B" w:rsidRDefault="006C3EF8" w:rsidP="00772C9C">
      <w:pPr>
        <w:rPr>
          <w:i/>
        </w:rPr>
      </w:pPr>
      <w:r>
        <w:rPr>
          <w:i/>
        </w:rPr>
        <w:t xml:space="preserve">Design type of all studies analyzed in manuscript. </w:t>
      </w:r>
      <w:r w:rsidRPr="00E3359B">
        <w:rPr>
          <w:i/>
        </w:rPr>
        <w:t xml:space="preserve">   </w:t>
      </w:r>
    </w:p>
    <w:tbl>
      <w:tblPr>
        <w:tblW w:w="6211" w:type="dxa"/>
        <w:tblLook w:val="04A0" w:firstRow="1" w:lastRow="0" w:firstColumn="1" w:lastColumn="0" w:noHBand="0" w:noVBand="1"/>
      </w:tblPr>
      <w:tblGrid>
        <w:gridCol w:w="1513"/>
        <w:gridCol w:w="1436"/>
        <w:gridCol w:w="956"/>
        <w:gridCol w:w="1350"/>
        <w:gridCol w:w="956"/>
      </w:tblGrid>
      <w:tr w:rsidR="006C3EF8" w:rsidRPr="006C3EF8" w:rsidTr="000C6C47">
        <w:trPr>
          <w:trHeight w:val="260"/>
        </w:trPr>
        <w:tc>
          <w:tcPr>
            <w:tcW w:w="1513" w:type="dxa"/>
            <w:tcBorders>
              <w:top w:val="nil"/>
              <w:left w:val="nil"/>
              <w:bottom w:val="nil"/>
              <w:right w:val="nil"/>
            </w:tcBorders>
            <w:shd w:val="clear" w:color="auto" w:fill="auto"/>
            <w:noWrap/>
            <w:vAlign w:val="bottom"/>
          </w:tcPr>
          <w:p w:rsidR="006C3EF8" w:rsidRDefault="006C3EF8" w:rsidP="00772C9C">
            <w:pPr>
              <w:rPr>
                <w:rFonts w:cs="Times New Roman"/>
                <w:szCs w:val="24"/>
              </w:rPr>
            </w:pPr>
          </w:p>
        </w:tc>
        <w:tc>
          <w:tcPr>
            <w:tcW w:w="2392" w:type="dxa"/>
            <w:gridSpan w:val="2"/>
            <w:tcBorders>
              <w:top w:val="nil"/>
              <w:left w:val="nil"/>
              <w:bottom w:val="nil"/>
              <w:right w:val="single" w:sz="4" w:space="0" w:color="auto"/>
            </w:tcBorders>
            <w:shd w:val="clear" w:color="auto" w:fill="auto"/>
            <w:noWrap/>
            <w:vAlign w:val="bottom"/>
          </w:tcPr>
          <w:p w:rsidR="006C3EF8" w:rsidRPr="006C3EF8" w:rsidRDefault="006C3EF8" w:rsidP="00772C9C">
            <w:pPr>
              <w:rPr>
                <w:rFonts w:cs="Times New Roman"/>
                <w:b/>
                <w:szCs w:val="24"/>
              </w:rPr>
            </w:pPr>
            <w:r w:rsidRPr="006C3EF8">
              <w:rPr>
                <w:rFonts w:cs="Times New Roman"/>
                <w:b/>
                <w:szCs w:val="24"/>
              </w:rPr>
              <w:t>2003-2004</w:t>
            </w:r>
          </w:p>
        </w:tc>
        <w:tc>
          <w:tcPr>
            <w:tcW w:w="2306" w:type="dxa"/>
            <w:gridSpan w:val="2"/>
            <w:tcBorders>
              <w:top w:val="nil"/>
              <w:left w:val="single" w:sz="4" w:space="0" w:color="auto"/>
              <w:bottom w:val="nil"/>
              <w:right w:val="nil"/>
            </w:tcBorders>
            <w:shd w:val="clear" w:color="auto" w:fill="auto"/>
            <w:noWrap/>
            <w:vAlign w:val="bottom"/>
          </w:tcPr>
          <w:p w:rsidR="006C3EF8" w:rsidRPr="006C3EF8" w:rsidRDefault="006C3EF8" w:rsidP="00772C9C">
            <w:pPr>
              <w:rPr>
                <w:rFonts w:cs="Times New Roman"/>
                <w:b/>
                <w:szCs w:val="24"/>
              </w:rPr>
            </w:pPr>
            <w:r w:rsidRPr="006C3EF8">
              <w:rPr>
                <w:rFonts w:cs="Times New Roman"/>
                <w:b/>
                <w:szCs w:val="24"/>
              </w:rPr>
              <w:t>2013-2014</w:t>
            </w:r>
          </w:p>
        </w:tc>
      </w:tr>
      <w:tr w:rsidR="006C3EF8" w:rsidRPr="006C3EF8" w:rsidTr="000C6C47">
        <w:trPr>
          <w:trHeight w:val="260"/>
        </w:trPr>
        <w:tc>
          <w:tcPr>
            <w:tcW w:w="1513" w:type="dxa"/>
            <w:tcBorders>
              <w:top w:val="nil"/>
              <w:left w:val="nil"/>
              <w:bottom w:val="single" w:sz="4" w:space="0" w:color="auto"/>
              <w:right w:val="nil"/>
            </w:tcBorders>
            <w:shd w:val="clear" w:color="auto" w:fill="auto"/>
            <w:noWrap/>
            <w:vAlign w:val="bottom"/>
            <w:hideMark/>
          </w:tcPr>
          <w:p w:rsidR="006C3EF8" w:rsidRPr="006C3EF8" w:rsidRDefault="006C3EF8" w:rsidP="00772C9C">
            <w:pPr>
              <w:rPr>
                <w:rFonts w:cs="Times New Roman"/>
                <w:szCs w:val="24"/>
              </w:rPr>
            </w:pPr>
          </w:p>
        </w:tc>
        <w:tc>
          <w:tcPr>
            <w:tcW w:w="1436" w:type="dxa"/>
            <w:tcBorders>
              <w:top w:val="nil"/>
              <w:left w:val="nil"/>
              <w:bottom w:val="single" w:sz="4" w:space="0" w:color="auto"/>
              <w:right w:val="nil"/>
            </w:tcBorders>
            <w:shd w:val="clear" w:color="auto" w:fill="auto"/>
            <w:noWrap/>
            <w:vAlign w:val="bottom"/>
            <w:hideMark/>
          </w:tcPr>
          <w:p w:rsidR="006C3EF8" w:rsidRPr="006C3EF8" w:rsidRDefault="006C3EF8" w:rsidP="00772C9C">
            <w:pPr>
              <w:rPr>
                <w:rFonts w:cs="Times New Roman"/>
                <w:szCs w:val="24"/>
              </w:rPr>
            </w:pPr>
            <w:r>
              <w:rPr>
                <w:rFonts w:cs="Times New Roman"/>
                <w:szCs w:val="24"/>
              </w:rPr>
              <w:t>Frequency</w:t>
            </w:r>
          </w:p>
        </w:tc>
        <w:tc>
          <w:tcPr>
            <w:tcW w:w="956" w:type="dxa"/>
            <w:tcBorders>
              <w:top w:val="nil"/>
              <w:left w:val="nil"/>
              <w:bottom w:val="single" w:sz="4" w:space="0" w:color="auto"/>
              <w:right w:val="single" w:sz="4" w:space="0" w:color="auto"/>
            </w:tcBorders>
          </w:tcPr>
          <w:p w:rsidR="006C3EF8" w:rsidRPr="006C3EF8" w:rsidRDefault="006C3EF8" w:rsidP="00772C9C">
            <w:pPr>
              <w:rPr>
                <w:rFonts w:cs="Times New Roman"/>
                <w:b/>
                <w:szCs w:val="24"/>
              </w:rPr>
            </w:pPr>
            <w:r>
              <w:rPr>
                <w:rFonts w:cs="Times New Roman"/>
                <w:b/>
                <w:szCs w:val="24"/>
              </w:rPr>
              <w:t>%</w:t>
            </w:r>
          </w:p>
        </w:tc>
        <w:tc>
          <w:tcPr>
            <w:tcW w:w="1350" w:type="dxa"/>
            <w:tcBorders>
              <w:top w:val="nil"/>
              <w:left w:val="single" w:sz="4" w:space="0" w:color="auto"/>
              <w:bottom w:val="single" w:sz="4" w:space="0" w:color="auto"/>
              <w:right w:val="nil"/>
            </w:tcBorders>
            <w:shd w:val="clear" w:color="auto" w:fill="auto"/>
            <w:noWrap/>
            <w:vAlign w:val="bottom"/>
            <w:hideMark/>
          </w:tcPr>
          <w:p w:rsidR="006C3EF8" w:rsidRPr="006C3EF8" w:rsidRDefault="006C3EF8" w:rsidP="00772C9C">
            <w:pPr>
              <w:rPr>
                <w:rFonts w:cs="Times New Roman"/>
                <w:szCs w:val="24"/>
              </w:rPr>
            </w:pPr>
            <w:r>
              <w:rPr>
                <w:rFonts w:cs="Times New Roman"/>
                <w:szCs w:val="24"/>
              </w:rPr>
              <w:t>Frequency</w:t>
            </w:r>
          </w:p>
        </w:tc>
        <w:tc>
          <w:tcPr>
            <w:tcW w:w="956" w:type="dxa"/>
            <w:tcBorders>
              <w:top w:val="nil"/>
              <w:left w:val="nil"/>
              <w:bottom w:val="single" w:sz="4" w:space="0" w:color="auto"/>
              <w:right w:val="nil"/>
            </w:tcBorders>
          </w:tcPr>
          <w:p w:rsidR="006C3EF8" w:rsidRPr="006C3EF8" w:rsidRDefault="006C3EF8" w:rsidP="00772C9C">
            <w:pPr>
              <w:rPr>
                <w:rFonts w:cs="Times New Roman"/>
                <w:b/>
                <w:szCs w:val="24"/>
              </w:rPr>
            </w:pPr>
            <w:r>
              <w:rPr>
                <w:rFonts w:cs="Times New Roman"/>
                <w:b/>
                <w:szCs w:val="24"/>
              </w:rPr>
              <w:t>%</w:t>
            </w:r>
          </w:p>
        </w:tc>
      </w:tr>
      <w:tr w:rsidR="006C3EF8" w:rsidRPr="006C3EF8" w:rsidTr="000C6C47">
        <w:trPr>
          <w:trHeight w:val="260"/>
        </w:trPr>
        <w:tc>
          <w:tcPr>
            <w:tcW w:w="1513" w:type="dxa"/>
            <w:tcBorders>
              <w:top w:val="single" w:sz="4" w:space="0" w:color="auto"/>
              <w:left w:val="nil"/>
              <w:bottom w:val="nil"/>
              <w:right w:val="nil"/>
            </w:tcBorders>
            <w:shd w:val="clear" w:color="auto" w:fill="auto"/>
            <w:noWrap/>
            <w:vAlign w:val="bottom"/>
            <w:hideMark/>
          </w:tcPr>
          <w:p w:rsidR="006C3EF8" w:rsidRPr="006C3EF8" w:rsidRDefault="006C3EF8" w:rsidP="00772C9C">
            <w:pPr>
              <w:rPr>
                <w:rFonts w:cs="Times New Roman"/>
                <w:color w:val="000000"/>
                <w:szCs w:val="24"/>
              </w:rPr>
            </w:pPr>
            <w:r w:rsidRPr="006C3EF8">
              <w:rPr>
                <w:rFonts w:cs="Times New Roman"/>
                <w:color w:val="000000"/>
                <w:szCs w:val="24"/>
              </w:rPr>
              <w:t>Missing</w:t>
            </w:r>
          </w:p>
        </w:tc>
        <w:tc>
          <w:tcPr>
            <w:tcW w:w="1436" w:type="dxa"/>
            <w:tcBorders>
              <w:top w:val="single" w:sz="4" w:space="0" w:color="auto"/>
              <w:left w:val="nil"/>
              <w:bottom w:val="nil"/>
              <w:right w:val="nil"/>
            </w:tcBorders>
            <w:shd w:val="clear" w:color="auto" w:fill="auto"/>
            <w:noWrap/>
            <w:vAlign w:val="bottom"/>
            <w:hideMark/>
          </w:tcPr>
          <w:p w:rsidR="006C3EF8" w:rsidRPr="006C3EF8" w:rsidRDefault="006C3EF8" w:rsidP="00772C9C">
            <w:pPr>
              <w:jc w:val="center"/>
              <w:rPr>
                <w:rFonts w:cs="Times New Roman"/>
                <w:color w:val="000000"/>
                <w:szCs w:val="24"/>
              </w:rPr>
            </w:pPr>
            <w:r w:rsidRPr="006C3EF8">
              <w:rPr>
                <w:rFonts w:cs="Times New Roman"/>
                <w:color w:val="000000"/>
                <w:szCs w:val="24"/>
              </w:rPr>
              <w:t>110</w:t>
            </w:r>
          </w:p>
        </w:tc>
        <w:tc>
          <w:tcPr>
            <w:tcW w:w="956" w:type="dxa"/>
            <w:tcBorders>
              <w:top w:val="single" w:sz="4" w:space="0" w:color="auto"/>
              <w:left w:val="nil"/>
              <w:bottom w:val="nil"/>
              <w:right w:val="single" w:sz="4" w:space="0" w:color="auto"/>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21.32%</w:t>
            </w:r>
          </w:p>
        </w:tc>
        <w:tc>
          <w:tcPr>
            <w:tcW w:w="1350" w:type="dxa"/>
            <w:tcBorders>
              <w:top w:val="single" w:sz="4" w:space="0" w:color="auto"/>
              <w:left w:val="single" w:sz="4" w:space="0" w:color="auto"/>
              <w:bottom w:val="nil"/>
              <w:right w:val="nil"/>
            </w:tcBorders>
            <w:shd w:val="clear" w:color="auto" w:fill="auto"/>
            <w:noWrap/>
            <w:vAlign w:val="bottom"/>
            <w:hideMark/>
          </w:tcPr>
          <w:p w:rsidR="006C3EF8" w:rsidRPr="006C3EF8" w:rsidRDefault="006C3EF8" w:rsidP="00772C9C">
            <w:pPr>
              <w:jc w:val="center"/>
              <w:rPr>
                <w:rFonts w:cs="Times New Roman"/>
                <w:color w:val="000000"/>
                <w:szCs w:val="24"/>
              </w:rPr>
            </w:pPr>
            <w:r w:rsidRPr="006C3EF8">
              <w:rPr>
                <w:rFonts w:cs="Times New Roman"/>
                <w:color w:val="000000"/>
                <w:szCs w:val="24"/>
              </w:rPr>
              <w:t>203</w:t>
            </w:r>
          </w:p>
        </w:tc>
        <w:tc>
          <w:tcPr>
            <w:tcW w:w="956" w:type="dxa"/>
            <w:tcBorders>
              <w:top w:val="single" w:sz="4" w:space="0" w:color="auto"/>
              <w:left w:val="nil"/>
              <w:bottom w:val="nil"/>
              <w:right w:val="nil"/>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20.53%</w:t>
            </w:r>
          </w:p>
        </w:tc>
      </w:tr>
      <w:tr w:rsidR="006C3EF8" w:rsidRPr="006C3EF8" w:rsidTr="000C6C47">
        <w:trPr>
          <w:trHeight w:val="260"/>
        </w:trPr>
        <w:tc>
          <w:tcPr>
            <w:tcW w:w="1513" w:type="dxa"/>
            <w:tcBorders>
              <w:top w:val="nil"/>
              <w:left w:val="nil"/>
              <w:bottom w:val="nil"/>
              <w:right w:val="nil"/>
            </w:tcBorders>
            <w:shd w:val="clear" w:color="auto" w:fill="auto"/>
            <w:noWrap/>
            <w:vAlign w:val="bottom"/>
            <w:hideMark/>
          </w:tcPr>
          <w:p w:rsidR="006C3EF8" w:rsidRPr="006C3EF8" w:rsidRDefault="006C3EF8" w:rsidP="00772C9C">
            <w:pPr>
              <w:rPr>
                <w:rFonts w:cs="Times New Roman"/>
                <w:color w:val="000000"/>
                <w:szCs w:val="24"/>
              </w:rPr>
            </w:pPr>
            <w:r w:rsidRPr="006C3EF8">
              <w:rPr>
                <w:rFonts w:cs="Times New Roman"/>
                <w:color w:val="000000"/>
                <w:szCs w:val="24"/>
              </w:rPr>
              <w:t>Between</w:t>
            </w:r>
          </w:p>
        </w:tc>
        <w:tc>
          <w:tcPr>
            <w:tcW w:w="1436" w:type="dxa"/>
            <w:tcBorders>
              <w:top w:val="nil"/>
              <w:left w:val="nil"/>
              <w:bottom w:val="nil"/>
              <w:right w:val="nil"/>
            </w:tcBorders>
            <w:shd w:val="clear" w:color="auto" w:fill="auto"/>
            <w:noWrap/>
            <w:vAlign w:val="bottom"/>
            <w:hideMark/>
          </w:tcPr>
          <w:p w:rsidR="006C3EF8" w:rsidRPr="006C3EF8" w:rsidRDefault="006C3EF8" w:rsidP="00772C9C">
            <w:pPr>
              <w:jc w:val="center"/>
              <w:rPr>
                <w:rFonts w:cs="Times New Roman"/>
                <w:color w:val="000000"/>
                <w:szCs w:val="24"/>
              </w:rPr>
            </w:pPr>
            <w:r w:rsidRPr="006C3EF8">
              <w:rPr>
                <w:rFonts w:cs="Times New Roman"/>
                <w:color w:val="000000"/>
                <w:szCs w:val="24"/>
              </w:rPr>
              <w:t>267</w:t>
            </w:r>
          </w:p>
        </w:tc>
        <w:tc>
          <w:tcPr>
            <w:tcW w:w="956" w:type="dxa"/>
            <w:tcBorders>
              <w:top w:val="nil"/>
              <w:left w:val="nil"/>
              <w:bottom w:val="nil"/>
              <w:right w:val="single" w:sz="4" w:space="0" w:color="auto"/>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51.74%</w:t>
            </w:r>
          </w:p>
        </w:tc>
        <w:tc>
          <w:tcPr>
            <w:tcW w:w="1350" w:type="dxa"/>
            <w:tcBorders>
              <w:top w:val="nil"/>
              <w:left w:val="single" w:sz="4" w:space="0" w:color="auto"/>
              <w:bottom w:val="nil"/>
              <w:right w:val="nil"/>
            </w:tcBorders>
            <w:shd w:val="clear" w:color="auto" w:fill="auto"/>
            <w:noWrap/>
            <w:vAlign w:val="bottom"/>
            <w:hideMark/>
          </w:tcPr>
          <w:p w:rsidR="006C3EF8" w:rsidRPr="006C3EF8" w:rsidRDefault="006C3EF8" w:rsidP="00772C9C">
            <w:pPr>
              <w:jc w:val="center"/>
              <w:rPr>
                <w:rFonts w:cs="Times New Roman"/>
                <w:color w:val="000000"/>
                <w:szCs w:val="24"/>
              </w:rPr>
            </w:pPr>
            <w:r w:rsidRPr="006C3EF8">
              <w:rPr>
                <w:rFonts w:cs="Times New Roman"/>
                <w:color w:val="000000"/>
                <w:szCs w:val="24"/>
              </w:rPr>
              <w:t>562</w:t>
            </w:r>
          </w:p>
        </w:tc>
        <w:tc>
          <w:tcPr>
            <w:tcW w:w="956" w:type="dxa"/>
            <w:tcBorders>
              <w:top w:val="nil"/>
              <w:left w:val="nil"/>
              <w:bottom w:val="nil"/>
              <w:right w:val="nil"/>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56.83%</w:t>
            </w:r>
          </w:p>
        </w:tc>
      </w:tr>
      <w:tr w:rsidR="006C3EF8" w:rsidRPr="006C3EF8" w:rsidTr="000C6C47">
        <w:trPr>
          <w:trHeight w:val="260"/>
        </w:trPr>
        <w:tc>
          <w:tcPr>
            <w:tcW w:w="1513" w:type="dxa"/>
            <w:tcBorders>
              <w:top w:val="nil"/>
              <w:left w:val="nil"/>
              <w:bottom w:val="nil"/>
              <w:right w:val="nil"/>
            </w:tcBorders>
            <w:shd w:val="clear" w:color="auto" w:fill="auto"/>
            <w:noWrap/>
            <w:vAlign w:val="bottom"/>
            <w:hideMark/>
          </w:tcPr>
          <w:p w:rsidR="006C3EF8" w:rsidRPr="006C3EF8" w:rsidRDefault="006C3EF8" w:rsidP="00772C9C">
            <w:pPr>
              <w:rPr>
                <w:rFonts w:cs="Times New Roman"/>
                <w:color w:val="000000"/>
                <w:szCs w:val="24"/>
              </w:rPr>
            </w:pPr>
            <w:r w:rsidRPr="006C3EF8">
              <w:rPr>
                <w:rFonts w:cs="Times New Roman"/>
                <w:color w:val="000000"/>
                <w:szCs w:val="24"/>
              </w:rPr>
              <w:t xml:space="preserve">Mixed  </w:t>
            </w:r>
          </w:p>
        </w:tc>
        <w:tc>
          <w:tcPr>
            <w:tcW w:w="1436" w:type="dxa"/>
            <w:tcBorders>
              <w:top w:val="nil"/>
              <w:left w:val="nil"/>
              <w:bottom w:val="nil"/>
              <w:right w:val="nil"/>
            </w:tcBorders>
            <w:shd w:val="clear" w:color="auto" w:fill="auto"/>
            <w:noWrap/>
            <w:vAlign w:val="bottom"/>
            <w:hideMark/>
          </w:tcPr>
          <w:p w:rsidR="006C3EF8" w:rsidRPr="006C3EF8" w:rsidRDefault="006C3EF8" w:rsidP="00772C9C">
            <w:pPr>
              <w:jc w:val="center"/>
              <w:rPr>
                <w:rFonts w:cs="Times New Roman"/>
                <w:color w:val="000000"/>
                <w:szCs w:val="24"/>
              </w:rPr>
            </w:pPr>
            <w:r w:rsidRPr="006C3EF8">
              <w:rPr>
                <w:rFonts w:cs="Times New Roman"/>
                <w:color w:val="000000"/>
                <w:szCs w:val="24"/>
              </w:rPr>
              <w:t>76</w:t>
            </w:r>
          </w:p>
        </w:tc>
        <w:tc>
          <w:tcPr>
            <w:tcW w:w="956" w:type="dxa"/>
            <w:tcBorders>
              <w:top w:val="nil"/>
              <w:left w:val="nil"/>
              <w:bottom w:val="nil"/>
              <w:right w:val="single" w:sz="4" w:space="0" w:color="auto"/>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14.73%</w:t>
            </w:r>
          </w:p>
        </w:tc>
        <w:tc>
          <w:tcPr>
            <w:tcW w:w="1350" w:type="dxa"/>
            <w:tcBorders>
              <w:top w:val="nil"/>
              <w:left w:val="single" w:sz="4" w:space="0" w:color="auto"/>
              <w:bottom w:val="nil"/>
              <w:right w:val="nil"/>
            </w:tcBorders>
            <w:shd w:val="clear" w:color="auto" w:fill="auto"/>
            <w:noWrap/>
            <w:vAlign w:val="bottom"/>
            <w:hideMark/>
          </w:tcPr>
          <w:p w:rsidR="006C3EF8" w:rsidRPr="006C3EF8" w:rsidRDefault="006C3EF8" w:rsidP="00772C9C">
            <w:pPr>
              <w:jc w:val="center"/>
              <w:rPr>
                <w:rFonts w:cs="Times New Roman"/>
                <w:color w:val="000000"/>
                <w:szCs w:val="24"/>
              </w:rPr>
            </w:pPr>
            <w:r w:rsidRPr="006C3EF8">
              <w:rPr>
                <w:rFonts w:cs="Times New Roman"/>
                <w:color w:val="000000"/>
                <w:szCs w:val="24"/>
              </w:rPr>
              <w:t>115</w:t>
            </w:r>
          </w:p>
        </w:tc>
        <w:tc>
          <w:tcPr>
            <w:tcW w:w="956" w:type="dxa"/>
            <w:tcBorders>
              <w:top w:val="nil"/>
              <w:left w:val="nil"/>
              <w:bottom w:val="nil"/>
              <w:right w:val="nil"/>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11.63%</w:t>
            </w:r>
          </w:p>
        </w:tc>
      </w:tr>
      <w:tr w:rsidR="006C3EF8" w:rsidRPr="006C3EF8" w:rsidTr="000C6C47">
        <w:trPr>
          <w:trHeight w:val="260"/>
        </w:trPr>
        <w:tc>
          <w:tcPr>
            <w:tcW w:w="1513" w:type="dxa"/>
            <w:tcBorders>
              <w:top w:val="nil"/>
              <w:left w:val="nil"/>
              <w:bottom w:val="nil"/>
              <w:right w:val="nil"/>
            </w:tcBorders>
            <w:shd w:val="clear" w:color="auto" w:fill="auto"/>
            <w:noWrap/>
            <w:vAlign w:val="bottom"/>
            <w:hideMark/>
          </w:tcPr>
          <w:p w:rsidR="006C3EF8" w:rsidRPr="006C3EF8" w:rsidRDefault="006C3EF8" w:rsidP="00772C9C">
            <w:pPr>
              <w:rPr>
                <w:rFonts w:cs="Times New Roman"/>
                <w:color w:val="000000"/>
                <w:szCs w:val="24"/>
              </w:rPr>
            </w:pPr>
            <w:r w:rsidRPr="006C3EF8">
              <w:rPr>
                <w:rFonts w:cs="Times New Roman"/>
                <w:color w:val="000000"/>
                <w:szCs w:val="24"/>
              </w:rPr>
              <w:t xml:space="preserve">Within </w:t>
            </w:r>
          </w:p>
        </w:tc>
        <w:tc>
          <w:tcPr>
            <w:tcW w:w="1436" w:type="dxa"/>
            <w:tcBorders>
              <w:top w:val="nil"/>
              <w:left w:val="nil"/>
              <w:bottom w:val="nil"/>
              <w:right w:val="nil"/>
            </w:tcBorders>
            <w:shd w:val="clear" w:color="auto" w:fill="auto"/>
            <w:noWrap/>
            <w:vAlign w:val="bottom"/>
            <w:hideMark/>
          </w:tcPr>
          <w:p w:rsidR="006C3EF8" w:rsidRPr="006C3EF8" w:rsidRDefault="006C3EF8" w:rsidP="00772C9C">
            <w:pPr>
              <w:jc w:val="center"/>
              <w:rPr>
                <w:rFonts w:cs="Times New Roman"/>
                <w:color w:val="000000"/>
                <w:szCs w:val="24"/>
              </w:rPr>
            </w:pPr>
            <w:r w:rsidRPr="006C3EF8">
              <w:rPr>
                <w:rFonts w:cs="Times New Roman"/>
                <w:color w:val="000000"/>
                <w:szCs w:val="24"/>
              </w:rPr>
              <w:t>63</w:t>
            </w:r>
          </w:p>
        </w:tc>
        <w:tc>
          <w:tcPr>
            <w:tcW w:w="956" w:type="dxa"/>
            <w:tcBorders>
              <w:top w:val="nil"/>
              <w:left w:val="nil"/>
              <w:bottom w:val="nil"/>
              <w:right w:val="single" w:sz="4" w:space="0" w:color="auto"/>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12.21%</w:t>
            </w:r>
          </w:p>
        </w:tc>
        <w:tc>
          <w:tcPr>
            <w:tcW w:w="1350" w:type="dxa"/>
            <w:tcBorders>
              <w:top w:val="nil"/>
              <w:left w:val="single" w:sz="4" w:space="0" w:color="auto"/>
              <w:bottom w:val="nil"/>
              <w:right w:val="nil"/>
            </w:tcBorders>
            <w:shd w:val="clear" w:color="auto" w:fill="auto"/>
            <w:noWrap/>
            <w:vAlign w:val="bottom"/>
            <w:hideMark/>
          </w:tcPr>
          <w:p w:rsidR="006C3EF8" w:rsidRPr="006C3EF8" w:rsidRDefault="006C3EF8" w:rsidP="00772C9C">
            <w:pPr>
              <w:jc w:val="center"/>
              <w:rPr>
                <w:rFonts w:cs="Times New Roman"/>
                <w:color w:val="000000"/>
                <w:szCs w:val="24"/>
              </w:rPr>
            </w:pPr>
            <w:r w:rsidRPr="006C3EF8">
              <w:rPr>
                <w:rFonts w:cs="Times New Roman"/>
                <w:color w:val="000000"/>
                <w:szCs w:val="24"/>
              </w:rPr>
              <w:t>109</w:t>
            </w:r>
          </w:p>
        </w:tc>
        <w:tc>
          <w:tcPr>
            <w:tcW w:w="956" w:type="dxa"/>
            <w:tcBorders>
              <w:top w:val="nil"/>
              <w:left w:val="nil"/>
              <w:bottom w:val="nil"/>
              <w:right w:val="nil"/>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11.02%</w:t>
            </w:r>
          </w:p>
        </w:tc>
      </w:tr>
      <w:tr w:rsidR="006C3EF8" w:rsidRPr="006C3EF8" w:rsidTr="000C6C47">
        <w:trPr>
          <w:trHeight w:val="260"/>
        </w:trPr>
        <w:tc>
          <w:tcPr>
            <w:tcW w:w="1513" w:type="dxa"/>
            <w:tcBorders>
              <w:top w:val="nil"/>
              <w:left w:val="nil"/>
              <w:bottom w:val="single" w:sz="4" w:space="0" w:color="auto"/>
              <w:right w:val="nil"/>
            </w:tcBorders>
            <w:shd w:val="clear" w:color="auto" w:fill="auto"/>
            <w:noWrap/>
            <w:vAlign w:val="bottom"/>
          </w:tcPr>
          <w:p w:rsidR="006C3EF8" w:rsidRPr="006C3EF8" w:rsidRDefault="006C3EF8" w:rsidP="00772C9C">
            <w:pPr>
              <w:rPr>
                <w:rFonts w:cs="Times New Roman"/>
                <w:color w:val="000000"/>
                <w:szCs w:val="24"/>
              </w:rPr>
            </w:pPr>
            <w:r>
              <w:rPr>
                <w:rFonts w:cs="Times New Roman"/>
                <w:color w:val="000000"/>
                <w:szCs w:val="24"/>
              </w:rPr>
              <w:t>Sum</w:t>
            </w:r>
          </w:p>
        </w:tc>
        <w:tc>
          <w:tcPr>
            <w:tcW w:w="1436" w:type="dxa"/>
            <w:tcBorders>
              <w:top w:val="nil"/>
              <w:left w:val="nil"/>
              <w:bottom w:val="single" w:sz="4" w:space="0" w:color="auto"/>
              <w:right w:val="nil"/>
            </w:tcBorders>
            <w:shd w:val="clear" w:color="auto" w:fill="auto"/>
            <w:noWrap/>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516</w:t>
            </w:r>
          </w:p>
        </w:tc>
        <w:tc>
          <w:tcPr>
            <w:tcW w:w="956" w:type="dxa"/>
            <w:tcBorders>
              <w:top w:val="nil"/>
              <w:left w:val="nil"/>
              <w:bottom w:val="single" w:sz="4" w:space="0" w:color="auto"/>
              <w:right w:val="single" w:sz="4" w:space="0" w:color="auto"/>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100%</w:t>
            </w:r>
          </w:p>
        </w:tc>
        <w:tc>
          <w:tcPr>
            <w:tcW w:w="1350" w:type="dxa"/>
            <w:tcBorders>
              <w:top w:val="nil"/>
              <w:left w:val="single" w:sz="4" w:space="0" w:color="auto"/>
              <w:bottom w:val="single" w:sz="4" w:space="0" w:color="auto"/>
              <w:right w:val="nil"/>
            </w:tcBorders>
            <w:shd w:val="clear" w:color="auto" w:fill="auto"/>
            <w:noWrap/>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989</w:t>
            </w:r>
          </w:p>
        </w:tc>
        <w:tc>
          <w:tcPr>
            <w:tcW w:w="956" w:type="dxa"/>
            <w:tcBorders>
              <w:top w:val="nil"/>
              <w:left w:val="nil"/>
              <w:bottom w:val="single" w:sz="4" w:space="0" w:color="auto"/>
              <w:right w:val="nil"/>
            </w:tcBorders>
            <w:vAlign w:val="bottom"/>
          </w:tcPr>
          <w:p w:rsidR="006C3EF8" w:rsidRPr="006C3EF8" w:rsidRDefault="006C3EF8" w:rsidP="00772C9C">
            <w:pPr>
              <w:jc w:val="center"/>
              <w:rPr>
                <w:rFonts w:cs="Times New Roman"/>
                <w:color w:val="000000"/>
                <w:szCs w:val="24"/>
              </w:rPr>
            </w:pPr>
            <w:r w:rsidRPr="006C3EF8">
              <w:rPr>
                <w:rFonts w:cs="Times New Roman"/>
                <w:color w:val="000000"/>
                <w:szCs w:val="24"/>
              </w:rPr>
              <w:t>100%</w:t>
            </w:r>
          </w:p>
        </w:tc>
      </w:tr>
    </w:tbl>
    <w:p w:rsidR="006C3EF8" w:rsidRDefault="006C3EF8" w:rsidP="00772C9C">
      <w:pPr>
        <w:jc w:val="center"/>
        <w:rPr>
          <w:b/>
        </w:rPr>
      </w:pPr>
    </w:p>
    <w:p w:rsidR="006C3EF8" w:rsidRPr="00E3359B" w:rsidRDefault="006C3EF8" w:rsidP="00772C9C">
      <w:r w:rsidRPr="00E3359B">
        <w:t xml:space="preserve">Table </w:t>
      </w:r>
      <w:r>
        <w:t>S2</w:t>
      </w:r>
      <w:r w:rsidRPr="00E3359B">
        <w:t>.</w:t>
      </w:r>
    </w:p>
    <w:p w:rsidR="006C3EF8" w:rsidRPr="00E3359B" w:rsidRDefault="006C3EF8" w:rsidP="00772C9C">
      <w:pPr>
        <w:rPr>
          <w:i/>
        </w:rPr>
      </w:pPr>
      <w:r>
        <w:rPr>
          <w:i/>
        </w:rPr>
        <w:t>Design type of all e</w:t>
      </w:r>
      <w:r w:rsidRPr="006C3EF8">
        <w:rPr>
          <w:i/>
        </w:rPr>
        <w:t>xperimental</w:t>
      </w:r>
      <w:r>
        <w:rPr>
          <w:i/>
        </w:rPr>
        <w:t xml:space="preserve"> or quasi-</w:t>
      </w:r>
      <w:r>
        <w:t>e</w:t>
      </w:r>
      <w:r w:rsidRPr="006C3EF8">
        <w:rPr>
          <w:i/>
        </w:rPr>
        <w:t>xperimental</w:t>
      </w:r>
      <w:r>
        <w:rPr>
          <w:i/>
        </w:rPr>
        <w:t xml:space="preserve"> studies analyzed in manuscript.</w:t>
      </w:r>
    </w:p>
    <w:tbl>
      <w:tblPr>
        <w:tblW w:w="6211" w:type="dxa"/>
        <w:tblLook w:val="04A0" w:firstRow="1" w:lastRow="0" w:firstColumn="1" w:lastColumn="0" w:noHBand="0" w:noVBand="1"/>
      </w:tblPr>
      <w:tblGrid>
        <w:gridCol w:w="1513"/>
        <w:gridCol w:w="1436"/>
        <w:gridCol w:w="956"/>
        <w:gridCol w:w="1350"/>
        <w:gridCol w:w="956"/>
      </w:tblGrid>
      <w:tr w:rsidR="006C3EF8" w:rsidRPr="006C3EF8" w:rsidTr="006C3EF8">
        <w:trPr>
          <w:trHeight w:val="260"/>
        </w:trPr>
        <w:tc>
          <w:tcPr>
            <w:tcW w:w="1513" w:type="dxa"/>
            <w:tcBorders>
              <w:top w:val="nil"/>
              <w:left w:val="nil"/>
              <w:bottom w:val="nil"/>
              <w:right w:val="nil"/>
            </w:tcBorders>
            <w:shd w:val="clear" w:color="auto" w:fill="auto"/>
            <w:noWrap/>
            <w:vAlign w:val="bottom"/>
          </w:tcPr>
          <w:p w:rsidR="006C3EF8" w:rsidRDefault="006C3EF8" w:rsidP="00772C9C">
            <w:pPr>
              <w:rPr>
                <w:rFonts w:cs="Times New Roman"/>
                <w:szCs w:val="24"/>
              </w:rPr>
            </w:pPr>
          </w:p>
        </w:tc>
        <w:tc>
          <w:tcPr>
            <w:tcW w:w="2392" w:type="dxa"/>
            <w:gridSpan w:val="2"/>
            <w:tcBorders>
              <w:top w:val="nil"/>
              <w:left w:val="nil"/>
              <w:bottom w:val="nil"/>
              <w:right w:val="single" w:sz="4" w:space="0" w:color="auto"/>
            </w:tcBorders>
            <w:shd w:val="clear" w:color="auto" w:fill="auto"/>
            <w:noWrap/>
            <w:vAlign w:val="bottom"/>
          </w:tcPr>
          <w:p w:rsidR="006C3EF8" w:rsidRPr="006C3EF8" w:rsidRDefault="006C3EF8" w:rsidP="00772C9C">
            <w:pPr>
              <w:rPr>
                <w:rFonts w:cs="Times New Roman"/>
                <w:b/>
                <w:szCs w:val="24"/>
              </w:rPr>
            </w:pPr>
            <w:r w:rsidRPr="006C3EF8">
              <w:rPr>
                <w:rFonts w:cs="Times New Roman"/>
                <w:b/>
                <w:szCs w:val="24"/>
              </w:rPr>
              <w:t>2003-2004</w:t>
            </w:r>
          </w:p>
        </w:tc>
        <w:tc>
          <w:tcPr>
            <w:tcW w:w="2306" w:type="dxa"/>
            <w:gridSpan w:val="2"/>
            <w:tcBorders>
              <w:top w:val="nil"/>
              <w:left w:val="single" w:sz="4" w:space="0" w:color="auto"/>
              <w:bottom w:val="nil"/>
              <w:right w:val="nil"/>
            </w:tcBorders>
            <w:shd w:val="clear" w:color="auto" w:fill="auto"/>
            <w:noWrap/>
            <w:vAlign w:val="bottom"/>
          </w:tcPr>
          <w:p w:rsidR="006C3EF8" w:rsidRPr="006C3EF8" w:rsidRDefault="006C3EF8" w:rsidP="00772C9C">
            <w:pPr>
              <w:rPr>
                <w:rFonts w:cs="Times New Roman"/>
                <w:b/>
                <w:szCs w:val="24"/>
              </w:rPr>
            </w:pPr>
            <w:r w:rsidRPr="006C3EF8">
              <w:rPr>
                <w:rFonts w:cs="Times New Roman"/>
                <w:b/>
                <w:szCs w:val="24"/>
              </w:rPr>
              <w:t>2013-2014</w:t>
            </w:r>
          </w:p>
        </w:tc>
      </w:tr>
      <w:tr w:rsidR="006C3EF8" w:rsidRPr="006C3EF8" w:rsidTr="006C3EF8">
        <w:trPr>
          <w:trHeight w:val="260"/>
        </w:trPr>
        <w:tc>
          <w:tcPr>
            <w:tcW w:w="1513" w:type="dxa"/>
            <w:tcBorders>
              <w:top w:val="nil"/>
              <w:left w:val="nil"/>
              <w:bottom w:val="single" w:sz="4" w:space="0" w:color="auto"/>
              <w:right w:val="nil"/>
            </w:tcBorders>
            <w:shd w:val="clear" w:color="auto" w:fill="auto"/>
            <w:noWrap/>
            <w:vAlign w:val="bottom"/>
            <w:hideMark/>
          </w:tcPr>
          <w:p w:rsidR="006C3EF8" w:rsidRPr="006C3EF8" w:rsidRDefault="006C3EF8" w:rsidP="00772C9C">
            <w:pPr>
              <w:rPr>
                <w:rFonts w:cs="Times New Roman"/>
                <w:szCs w:val="24"/>
              </w:rPr>
            </w:pPr>
          </w:p>
        </w:tc>
        <w:tc>
          <w:tcPr>
            <w:tcW w:w="1436" w:type="dxa"/>
            <w:tcBorders>
              <w:top w:val="nil"/>
              <w:left w:val="nil"/>
              <w:bottom w:val="single" w:sz="4" w:space="0" w:color="auto"/>
              <w:right w:val="nil"/>
            </w:tcBorders>
            <w:shd w:val="clear" w:color="auto" w:fill="auto"/>
            <w:noWrap/>
            <w:vAlign w:val="bottom"/>
            <w:hideMark/>
          </w:tcPr>
          <w:p w:rsidR="006C3EF8" w:rsidRPr="006C3EF8" w:rsidRDefault="006C3EF8" w:rsidP="00772C9C">
            <w:pPr>
              <w:rPr>
                <w:rFonts w:cs="Times New Roman"/>
                <w:szCs w:val="24"/>
              </w:rPr>
            </w:pPr>
            <w:r>
              <w:rPr>
                <w:rFonts w:cs="Times New Roman"/>
                <w:szCs w:val="24"/>
              </w:rPr>
              <w:t>Frequency</w:t>
            </w:r>
          </w:p>
        </w:tc>
        <w:tc>
          <w:tcPr>
            <w:tcW w:w="956" w:type="dxa"/>
            <w:tcBorders>
              <w:top w:val="nil"/>
              <w:left w:val="nil"/>
              <w:bottom w:val="single" w:sz="4" w:space="0" w:color="auto"/>
              <w:right w:val="single" w:sz="4" w:space="0" w:color="auto"/>
            </w:tcBorders>
          </w:tcPr>
          <w:p w:rsidR="006C3EF8" w:rsidRPr="006C3EF8" w:rsidRDefault="006C3EF8" w:rsidP="00772C9C">
            <w:pPr>
              <w:rPr>
                <w:rFonts w:cs="Times New Roman"/>
                <w:b/>
                <w:szCs w:val="24"/>
              </w:rPr>
            </w:pPr>
            <w:r>
              <w:rPr>
                <w:rFonts w:cs="Times New Roman"/>
                <w:b/>
                <w:szCs w:val="24"/>
              </w:rPr>
              <w:t>%</w:t>
            </w:r>
          </w:p>
        </w:tc>
        <w:tc>
          <w:tcPr>
            <w:tcW w:w="1350" w:type="dxa"/>
            <w:tcBorders>
              <w:top w:val="nil"/>
              <w:left w:val="single" w:sz="4" w:space="0" w:color="auto"/>
              <w:bottom w:val="single" w:sz="4" w:space="0" w:color="auto"/>
              <w:right w:val="nil"/>
            </w:tcBorders>
            <w:shd w:val="clear" w:color="auto" w:fill="auto"/>
            <w:noWrap/>
            <w:vAlign w:val="bottom"/>
            <w:hideMark/>
          </w:tcPr>
          <w:p w:rsidR="006C3EF8" w:rsidRPr="006C3EF8" w:rsidRDefault="006C3EF8" w:rsidP="00772C9C">
            <w:pPr>
              <w:rPr>
                <w:rFonts w:cs="Times New Roman"/>
                <w:szCs w:val="24"/>
              </w:rPr>
            </w:pPr>
            <w:r>
              <w:rPr>
                <w:rFonts w:cs="Times New Roman"/>
                <w:szCs w:val="24"/>
              </w:rPr>
              <w:t>Frequency</w:t>
            </w:r>
          </w:p>
        </w:tc>
        <w:tc>
          <w:tcPr>
            <w:tcW w:w="956" w:type="dxa"/>
            <w:tcBorders>
              <w:top w:val="nil"/>
              <w:left w:val="nil"/>
              <w:bottom w:val="single" w:sz="4" w:space="0" w:color="auto"/>
              <w:right w:val="nil"/>
            </w:tcBorders>
          </w:tcPr>
          <w:p w:rsidR="006C3EF8" w:rsidRPr="006C3EF8" w:rsidRDefault="006C3EF8" w:rsidP="00772C9C">
            <w:pPr>
              <w:rPr>
                <w:rFonts w:cs="Times New Roman"/>
                <w:b/>
                <w:szCs w:val="24"/>
              </w:rPr>
            </w:pPr>
            <w:r>
              <w:rPr>
                <w:rFonts w:cs="Times New Roman"/>
                <w:b/>
                <w:szCs w:val="24"/>
              </w:rPr>
              <w:t>%</w:t>
            </w:r>
          </w:p>
        </w:tc>
      </w:tr>
      <w:tr w:rsidR="006C3EF8" w:rsidRPr="006C3EF8" w:rsidTr="006C3EF8">
        <w:trPr>
          <w:trHeight w:val="260"/>
        </w:trPr>
        <w:tc>
          <w:tcPr>
            <w:tcW w:w="1513" w:type="dxa"/>
            <w:tcBorders>
              <w:top w:val="single" w:sz="4" w:space="0" w:color="auto"/>
              <w:left w:val="nil"/>
              <w:bottom w:val="nil"/>
              <w:right w:val="nil"/>
            </w:tcBorders>
            <w:shd w:val="clear" w:color="auto" w:fill="auto"/>
            <w:noWrap/>
            <w:vAlign w:val="bottom"/>
            <w:hideMark/>
          </w:tcPr>
          <w:p w:rsidR="006C3EF8" w:rsidRPr="006C3EF8" w:rsidRDefault="006C3EF8" w:rsidP="00772C9C">
            <w:pPr>
              <w:rPr>
                <w:rFonts w:cs="Times New Roman"/>
                <w:color w:val="000000"/>
                <w:szCs w:val="24"/>
              </w:rPr>
            </w:pPr>
            <w:r w:rsidRPr="006C3EF8">
              <w:rPr>
                <w:rFonts w:cs="Times New Roman"/>
                <w:color w:val="000000"/>
                <w:szCs w:val="24"/>
              </w:rPr>
              <w:t>Missing</w:t>
            </w:r>
          </w:p>
        </w:tc>
        <w:tc>
          <w:tcPr>
            <w:tcW w:w="1436" w:type="dxa"/>
            <w:tcBorders>
              <w:top w:val="single" w:sz="4" w:space="0" w:color="auto"/>
              <w:left w:val="nil"/>
              <w:bottom w:val="nil"/>
              <w:right w:val="nil"/>
            </w:tcBorders>
            <w:shd w:val="clear" w:color="auto" w:fill="auto"/>
            <w:noWrap/>
            <w:vAlign w:val="bottom"/>
            <w:hideMark/>
          </w:tcPr>
          <w:p w:rsidR="006C3EF8" w:rsidRPr="006C3EF8" w:rsidRDefault="006C3EF8" w:rsidP="00772C9C">
            <w:pPr>
              <w:jc w:val="center"/>
              <w:rPr>
                <w:rFonts w:cs="Times New Roman"/>
                <w:color w:val="000000"/>
              </w:rPr>
            </w:pPr>
            <w:r w:rsidRPr="006C3EF8">
              <w:rPr>
                <w:rFonts w:cs="Times New Roman"/>
                <w:color w:val="000000"/>
              </w:rPr>
              <w:t>9</w:t>
            </w:r>
          </w:p>
        </w:tc>
        <w:tc>
          <w:tcPr>
            <w:tcW w:w="956" w:type="dxa"/>
            <w:tcBorders>
              <w:top w:val="single" w:sz="4" w:space="0" w:color="auto"/>
              <w:left w:val="nil"/>
              <w:bottom w:val="nil"/>
              <w:right w:val="single" w:sz="4" w:space="0" w:color="auto"/>
            </w:tcBorders>
            <w:vAlign w:val="bottom"/>
          </w:tcPr>
          <w:p w:rsidR="006C3EF8" w:rsidRPr="006C3EF8" w:rsidRDefault="006C3EF8" w:rsidP="00772C9C">
            <w:pPr>
              <w:jc w:val="center"/>
              <w:rPr>
                <w:rFonts w:cs="Times New Roman"/>
                <w:color w:val="000000"/>
              </w:rPr>
            </w:pPr>
            <w:r w:rsidRPr="006C3EF8">
              <w:rPr>
                <w:rFonts w:cs="Times New Roman"/>
                <w:color w:val="000000"/>
              </w:rPr>
              <w:t>1.57%</w:t>
            </w:r>
          </w:p>
        </w:tc>
        <w:tc>
          <w:tcPr>
            <w:tcW w:w="1350" w:type="dxa"/>
            <w:tcBorders>
              <w:top w:val="single" w:sz="4" w:space="0" w:color="auto"/>
              <w:left w:val="single" w:sz="4" w:space="0" w:color="auto"/>
              <w:bottom w:val="nil"/>
              <w:right w:val="nil"/>
            </w:tcBorders>
            <w:shd w:val="clear" w:color="auto" w:fill="auto"/>
            <w:noWrap/>
            <w:vAlign w:val="bottom"/>
            <w:hideMark/>
          </w:tcPr>
          <w:p w:rsidR="006C3EF8" w:rsidRPr="006C3EF8" w:rsidRDefault="006C3EF8" w:rsidP="00772C9C">
            <w:pPr>
              <w:jc w:val="center"/>
              <w:rPr>
                <w:rFonts w:cs="Times New Roman"/>
                <w:color w:val="000000"/>
              </w:rPr>
            </w:pPr>
            <w:r w:rsidRPr="006C3EF8">
              <w:rPr>
                <w:rFonts w:cs="Times New Roman"/>
                <w:color w:val="000000"/>
              </w:rPr>
              <w:t>7</w:t>
            </w:r>
          </w:p>
        </w:tc>
        <w:tc>
          <w:tcPr>
            <w:tcW w:w="956" w:type="dxa"/>
            <w:tcBorders>
              <w:top w:val="single" w:sz="4" w:space="0" w:color="auto"/>
              <w:left w:val="nil"/>
              <w:bottom w:val="nil"/>
              <w:right w:val="nil"/>
            </w:tcBorders>
            <w:vAlign w:val="bottom"/>
          </w:tcPr>
          <w:p w:rsidR="006C3EF8" w:rsidRPr="006C3EF8" w:rsidRDefault="006C3EF8" w:rsidP="00772C9C">
            <w:pPr>
              <w:jc w:val="center"/>
              <w:rPr>
                <w:rFonts w:cs="Times New Roman"/>
                <w:color w:val="000000"/>
              </w:rPr>
            </w:pPr>
            <w:r w:rsidRPr="006C3EF8">
              <w:rPr>
                <w:rFonts w:cs="Times New Roman"/>
                <w:color w:val="000000"/>
              </w:rPr>
              <w:t>0.83%</w:t>
            </w:r>
          </w:p>
        </w:tc>
      </w:tr>
      <w:tr w:rsidR="006C3EF8" w:rsidRPr="006C3EF8" w:rsidTr="006C3EF8">
        <w:trPr>
          <w:trHeight w:val="260"/>
        </w:trPr>
        <w:tc>
          <w:tcPr>
            <w:tcW w:w="1513" w:type="dxa"/>
            <w:tcBorders>
              <w:top w:val="nil"/>
              <w:left w:val="nil"/>
              <w:bottom w:val="nil"/>
              <w:right w:val="nil"/>
            </w:tcBorders>
            <w:shd w:val="clear" w:color="auto" w:fill="auto"/>
            <w:noWrap/>
            <w:vAlign w:val="bottom"/>
            <w:hideMark/>
          </w:tcPr>
          <w:p w:rsidR="006C3EF8" w:rsidRPr="006C3EF8" w:rsidRDefault="006C3EF8" w:rsidP="00772C9C">
            <w:pPr>
              <w:rPr>
                <w:rFonts w:cs="Times New Roman"/>
                <w:color w:val="000000"/>
                <w:szCs w:val="24"/>
              </w:rPr>
            </w:pPr>
            <w:r w:rsidRPr="006C3EF8">
              <w:rPr>
                <w:rFonts w:cs="Times New Roman"/>
                <w:color w:val="000000"/>
                <w:szCs w:val="24"/>
              </w:rPr>
              <w:t>Between</w:t>
            </w:r>
          </w:p>
        </w:tc>
        <w:tc>
          <w:tcPr>
            <w:tcW w:w="1436" w:type="dxa"/>
            <w:tcBorders>
              <w:top w:val="nil"/>
              <w:left w:val="nil"/>
              <w:bottom w:val="nil"/>
              <w:right w:val="nil"/>
            </w:tcBorders>
            <w:shd w:val="clear" w:color="auto" w:fill="auto"/>
            <w:noWrap/>
            <w:vAlign w:val="bottom"/>
            <w:hideMark/>
          </w:tcPr>
          <w:p w:rsidR="006C3EF8" w:rsidRPr="006C3EF8" w:rsidRDefault="006C3EF8" w:rsidP="00772C9C">
            <w:pPr>
              <w:jc w:val="center"/>
              <w:rPr>
                <w:rFonts w:cs="Times New Roman"/>
                <w:color w:val="000000"/>
              </w:rPr>
            </w:pPr>
            <w:r w:rsidRPr="006C3EF8">
              <w:rPr>
                <w:rFonts w:cs="Times New Roman"/>
                <w:color w:val="000000"/>
              </w:rPr>
              <w:t>394</w:t>
            </w:r>
          </w:p>
        </w:tc>
        <w:tc>
          <w:tcPr>
            <w:tcW w:w="956" w:type="dxa"/>
            <w:tcBorders>
              <w:top w:val="nil"/>
              <w:left w:val="nil"/>
              <w:bottom w:val="nil"/>
              <w:right w:val="single" w:sz="4" w:space="0" w:color="auto"/>
            </w:tcBorders>
            <w:vAlign w:val="bottom"/>
          </w:tcPr>
          <w:p w:rsidR="006C3EF8" w:rsidRPr="006C3EF8" w:rsidRDefault="006C3EF8" w:rsidP="00772C9C">
            <w:pPr>
              <w:jc w:val="center"/>
              <w:rPr>
                <w:rFonts w:cs="Times New Roman"/>
                <w:color w:val="000000"/>
              </w:rPr>
            </w:pPr>
            <w:r w:rsidRPr="006C3EF8">
              <w:rPr>
                <w:rFonts w:cs="Times New Roman"/>
                <w:color w:val="000000"/>
              </w:rPr>
              <w:t>68.64%</w:t>
            </w:r>
          </w:p>
        </w:tc>
        <w:tc>
          <w:tcPr>
            <w:tcW w:w="1350" w:type="dxa"/>
            <w:tcBorders>
              <w:top w:val="nil"/>
              <w:left w:val="single" w:sz="4" w:space="0" w:color="auto"/>
              <w:bottom w:val="nil"/>
              <w:right w:val="nil"/>
            </w:tcBorders>
            <w:shd w:val="clear" w:color="auto" w:fill="auto"/>
            <w:noWrap/>
            <w:vAlign w:val="bottom"/>
            <w:hideMark/>
          </w:tcPr>
          <w:p w:rsidR="006C3EF8" w:rsidRPr="006C3EF8" w:rsidRDefault="006C3EF8" w:rsidP="00772C9C">
            <w:pPr>
              <w:jc w:val="center"/>
              <w:rPr>
                <w:rFonts w:cs="Times New Roman"/>
                <w:color w:val="000000"/>
              </w:rPr>
            </w:pPr>
            <w:r w:rsidRPr="006C3EF8">
              <w:rPr>
                <w:rFonts w:cs="Times New Roman"/>
                <w:color w:val="000000"/>
              </w:rPr>
              <w:t>613</w:t>
            </w:r>
          </w:p>
        </w:tc>
        <w:tc>
          <w:tcPr>
            <w:tcW w:w="956" w:type="dxa"/>
            <w:tcBorders>
              <w:top w:val="nil"/>
              <w:left w:val="nil"/>
              <w:bottom w:val="nil"/>
              <w:right w:val="nil"/>
            </w:tcBorders>
            <w:vAlign w:val="bottom"/>
          </w:tcPr>
          <w:p w:rsidR="006C3EF8" w:rsidRPr="006C3EF8" w:rsidRDefault="006C3EF8" w:rsidP="00772C9C">
            <w:pPr>
              <w:jc w:val="center"/>
              <w:rPr>
                <w:rFonts w:cs="Times New Roman"/>
                <w:color w:val="000000"/>
              </w:rPr>
            </w:pPr>
            <w:r w:rsidRPr="006C3EF8">
              <w:rPr>
                <w:rFonts w:cs="Times New Roman"/>
                <w:color w:val="000000"/>
              </w:rPr>
              <w:t>73.06%</w:t>
            </w:r>
          </w:p>
        </w:tc>
      </w:tr>
      <w:tr w:rsidR="006C3EF8" w:rsidRPr="006C3EF8" w:rsidTr="006C3EF8">
        <w:trPr>
          <w:trHeight w:val="260"/>
        </w:trPr>
        <w:tc>
          <w:tcPr>
            <w:tcW w:w="1513" w:type="dxa"/>
            <w:tcBorders>
              <w:top w:val="nil"/>
              <w:left w:val="nil"/>
              <w:bottom w:val="nil"/>
              <w:right w:val="nil"/>
            </w:tcBorders>
            <w:shd w:val="clear" w:color="auto" w:fill="auto"/>
            <w:noWrap/>
            <w:vAlign w:val="bottom"/>
            <w:hideMark/>
          </w:tcPr>
          <w:p w:rsidR="006C3EF8" w:rsidRPr="006C3EF8" w:rsidRDefault="006C3EF8" w:rsidP="00772C9C">
            <w:pPr>
              <w:rPr>
                <w:rFonts w:cs="Times New Roman"/>
                <w:color w:val="000000"/>
                <w:szCs w:val="24"/>
              </w:rPr>
            </w:pPr>
            <w:r w:rsidRPr="006C3EF8">
              <w:rPr>
                <w:rFonts w:cs="Times New Roman"/>
                <w:color w:val="000000"/>
                <w:szCs w:val="24"/>
              </w:rPr>
              <w:t xml:space="preserve">Mixed  </w:t>
            </w:r>
          </w:p>
        </w:tc>
        <w:tc>
          <w:tcPr>
            <w:tcW w:w="1436" w:type="dxa"/>
            <w:tcBorders>
              <w:top w:val="nil"/>
              <w:left w:val="nil"/>
              <w:bottom w:val="nil"/>
              <w:right w:val="nil"/>
            </w:tcBorders>
            <w:shd w:val="clear" w:color="auto" w:fill="auto"/>
            <w:noWrap/>
            <w:vAlign w:val="bottom"/>
            <w:hideMark/>
          </w:tcPr>
          <w:p w:rsidR="006C3EF8" w:rsidRPr="006C3EF8" w:rsidRDefault="006C3EF8" w:rsidP="00772C9C">
            <w:pPr>
              <w:jc w:val="center"/>
              <w:rPr>
                <w:rFonts w:cs="Times New Roman"/>
                <w:color w:val="000000"/>
              </w:rPr>
            </w:pPr>
            <w:r w:rsidRPr="006C3EF8">
              <w:rPr>
                <w:rFonts w:cs="Times New Roman"/>
                <w:color w:val="000000"/>
              </w:rPr>
              <w:t>121</w:t>
            </w:r>
          </w:p>
        </w:tc>
        <w:tc>
          <w:tcPr>
            <w:tcW w:w="956" w:type="dxa"/>
            <w:tcBorders>
              <w:top w:val="nil"/>
              <w:left w:val="nil"/>
              <w:bottom w:val="nil"/>
              <w:right w:val="single" w:sz="4" w:space="0" w:color="auto"/>
            </w:tcBorders>
            <w:vAlign w:val="bottom"/>
          </w:tcPr>
          <w:p w:rsidR="006C3EF8" w:rsidRPr="006C3EF8" w:rsidRDefault="006C3EF8" w:rsidP="00772C9C">
            <w:pPr>
              <w:jc w:val="center"/>
              <w:rPr>
                <w:rFonts w:cs="Times New Roman"/>
                <w:color w:val="000000"/>
              </w:rPr>
            </w:pPr>
            <w:r w:rsidRPr="006C3EF8">
              <w:rPr>
                <w:rFonts w:cs="Times New Roman"/>
                <w:color w:val="000000"/>
              </w:rPr>
              <w:t>21.08%</w:t>
            </w:r>
          </w:p>
        </w:tc>
        <w:tc>
          <w:tcPr>
            <w:tcW w:w="1350" w:type="dxa"/>
            <w:tcBorders>
              <w:top w:val="nil"/>
              <w:left w:val="single" w:sz="4" w:space="0" w:color="auto"/>
              <w:bottom w:val="nil"/>
              <w:right w:val="nil"/>
            </w:tcBorders>
            <w:shd w:val="clear" w:color="auto" w:fill="auto"/>
            <w:noWrap/>
            <w:vAlign w:val="bottom"/>
            <w:hideMark/>
          </w:tcPr>
          <w:p w:rsidR="006C3EF8" w:rsidRPr="006C3EF8" w:rsidRDefault="006C3EF8" w:rsidP="00772C9C">
            <w:pPr>
              <w:jc w:val="center"/>
              <w:rPr>
                <w:rFonts w:cs="Times New Roman"/>
                <w:color w:val="000000"/>
              </w:rPr>
            </w:pPr>
            <w:r w:rsidRPr="006C3EF8">
              <w:rPr>
                <w:rFonts w:cs="Times New Roman"/>
                <w:color w:val="000000"/>
              </w:rPr>
              <w:t>145</w:t>
            </w:r>
          </w:p>
        </w:tc>
        <w:tc>
          <w:tcPr>
            <w:tcW w:w="956" w:type="dxa"/>
            <w:tcBorders>
              <w:top w:val="nil"/>
              <w:left w:val="nil"/>
              <w:bottom w:val="nil"/>
              <w:right w:val="nil"/>
            </w:tcBorders>
            <w:vAlign w:val="bottom"/>
          </w:tcPr>
          <w:p w:rsidR="006C3EF8" w:rsidRPr="006C3EF8" w:rsidRDefault="006C3EF8" w:rsidP="00772C9C">
            <w:pPr>
              <w:jc w:val="center"/>
              <w:rPr>
                <w:rFonts w:cs="Times New Roman"/>
                <w:color w:val="000000"/>
              </w:rPr>
            </w:pPr>
            <w:r w:rsidRPr="006C3EF8">
              <w:rPr>
                <w:rFonts w:cs="Times New Roman"/>
                <w:color w:val="000000"/>
              </w:rPr>
              <w:t>17.28%</w:t>
            </w:r>
          </w:p>
        </w:tc>
      </w:tr>
      <w:tr w:rsidR="006C3EF8" w:rsidRPr="006C3EF8" w:rsidTr="006C3EF8">
        <w:trPr>
          <w:trHeight w:val="260"/>
        </w:trPr>
        <w:tc>
          <w:tcPr>
            <w:tcW w:w="1513" w:type="dxa"/>
            <w:tcBorders>
              <w:top w:val="nil"/>
              <w:left w:val="nil"/>
              <w:bottom w:val="nil"/>
              <w:right w:val="nil"/>
            </w:tcBorders>
            <w:shd w:val="clear" w:color="auto" w:fill="auto"/>
            <w:noWrap/>
            <w:vAlign w:val="bottom"/>
            <w:hideMark/>
          </w:tcPr>
          <w:p w:rsidR="006C3EF8" w:rsidRPr="006C3EF8" w:rsidRDefault="006C3EF8" w:rsidP="00772C9C">
            <w:pPr>
              <w:rPr>
                <w:rFonts w:cs="Times New Roman"/>
                <w:color w:val="000000"/>
                <w:szCs w:val="24"/>
              </w:rPr>
            </w:pPr>
            <w:r w:rsidRPr="006C3EF8">
              <w:rPr>
                <w:rFonts w:cs="Times New Roman"/>
                <w:color w:val="000000"/>
                <w:szCs w:val="24"/>
              </w:rPr>
              <w:t xml:space="preserve">Within </w:t>
            </w:r>
          </w:p>
        </w:tc>
        <w:tc>
          <w:tcPr>
            <w:tcW w:w="1436" w:type="dxa"/>
            <w:tcBorders>
              <w:top w:val="nil"/>
              <w:left w:val="nil"/>
              <w:bottom w:val="nil"/>
              <w:right w:val="nil"/>
            </w:tcBorders>
            <w:shd w:val="clear" w:color="auto" w:fill="auto"/>
            <w:noWrap/>
            <w:vAlign w:val="bottom"/>
            <w:hideMark/>
          </w:tcPr>
          <w:p w:rsidR="006C3EF8" w:rsidRPr="006C3EF8" w:rsidRDefault="006C3EF8" w:rsidP="00772C9C">
            <w:pPr>
              <w:jc w:val="center"/>
              <w:rPr>
                <w:rFonts w:cs="Times New Roman"/>
                <w:color w:val="000000"/>
              </w:rPr>
            </w:pPr>
            <w:r w:rsidRPr="006C3EF8">
              <w:rPr>
                <w:rFonts w:cs="Times New Roman"/>
                <w:color w:val="000000"/>
              </w:rPr>
              <w:t>50</w:t>
            </w:r>
          </w:p>
        </w:tc>
        <w:tc>
          <w:tcPr>
            <w:tcW w:w="956" w:type="dxa"/>
            <w:tcBorders>
              <w:top w:val="nil"/>
              <w:left w:val="nil"/>
              <w:bottom w:val="nil"/>
              <w:right w:val="single" w:sz="4" w:space="0" w:color="auto"/>
            </w:tcBorders>
            <w:vAlign w:val="bottom"/>
          </w:tcPr>
          <w:p w:rsidR="006C3EF8" w:rsidRPr="006C3EF8" w:rsidRDefault="006C3EF8" w:rsidP="00772C9C">
            <w:pPr>
              <w:jc w:val="center"/>
              <w:rPr>
                <w:rFonts w:cs="Times New Roman"/>
                <w:color w:val="000000"/>
              </w:rPr>
            </w:pPr>
            <w:r w:rsidRPr="006C3EF8">
              <w:rPr>
                <w:rFonts w:cs="Times New Roman"/>
                <w:color w:val="000000"/>
              </w:rPr>
              <w:t>8.71%</w:t>
            </w:r>
          </w:p>
        </w:tc>
        <w:tc>
          <w:tcPr>
            <w:tcW w:w="1350" w:type="dxa"/>
            <w:tcBorders>
              <w:top w:val="nil"/>
              <w:left w:val="single" w:sz="4" w:space="0" w:color="auto"/>
              <w:bottom w:val="nil"/>
              <w:right w:val="nil"/>
            </w:tcBorders>
            <w:shd w:val="clear" w:color="auto" w:fill="auto"/>
            <w:noWrap/>
            <w:vAlign w:val="bottom"/>
            <w:hideMark/>
          </w:tcPr>
          <w:p w:rsidR="006C3EF8" w:rsidRPr="006C3EF8" w:rsidRDefault="006C3EF8" w:rsidP="00772C9C">
            <w:pPr>
              <w:jc w:val="center"/>
              <w:rPr>
                <w:rFonts w:cs="Times New Roman"/>
                <w:color w:val="000000"/>
              </w:rPr>
            </w:pPr>
            <w:r w:rsidRPr="006C3EF8">
              <w:rPr>
                <w:rFonts w:cs="Times New Roman"/>
                <w:color w:val="000000"/>
              </w:rPr>
              <w:t>74</w:t>
            </w:r>
          </w:p>
        </w:tc>
        <w:tc>
          <w:tcPr>
            <w:tcW w:w="956" w:type="dxa"/>
            <w:tcBorders>
              <w:top w:val="nil"/>
              <w:left w:val="nil"/>
              <w:bottom w:val="nil"/>
              <w:right w:val="nil"/>
            </w:tcBorders>
            <w:vAlign w:val="bottom"/>
          </w:tcPr>
          <w:p w:rsidR="006C3EF8" w:rsidRPr="006C3EF8" w:rsidRDefault="006C3EF8" w:rsidP="00772C9C">
            <w:pPr>
              <w:jc w:val="center"/>
              <w:rPr>
                <w:rFonts w:cs="Times New Roman"/>
                <w:color w:val="000000"/>
              </w:rPr>
            </w:pPr>
            <w:r w:rsidRPr="006C3EF8">
              <w:rPr>
                <w:rFonts w:cs="Times New Roman"/>
                <w:color w:val="000000"/>
              </w:rPr>
              <w:t>8.82%</w:t>
            </w:r>
          </w:p>
        </w:tc>
      </w:tr>
      <w:tr w:rsidR="006C3EF8" w:rsidRPr="006C3EF8" w:rsidTr="006C3EF8">
        <w:trPr>
          <w:trHeight w:val="260"/>
        </w:trPr>
        <w:tc>
          <w:tcPr>
            <w:tcW w:w="1513" w:type="dxa"/>
            <w:tcBorders>
              <w:top w:val="nil"/>
              <w:left w:val="nil"/>
              <w:bottom w:val="single" w:sz="4" w:space="0" w:color="auto"/>
              <w:right w:val="nil"/>
            </w:tcBorders>
            <w:shd w:val="clear" w:color="auto" w:fill="auto"/>
            <w:noWrap/>
            <w:vAlign w:val="bottom"/>
          </w:tcPr>
          <w:p w:rsidR="006C3EF8" w:rsidRPr="006C3EF8" w:rsidRDefault="006C3EF8" w:rsidP="00772C9C">
            <w:pPr>
              <w:rPr>
                <w:rFonts w:cs="Times New Roman"/>
                <w:color w:val="000000"/>
                <w:szCs w:val="24"/>
              </w:rPr>
            </w:pPr>
            <w:r>
              <w:rPr>
                <w:rFonts w:cs="Times New Roman"/>
                <w:color w:val="000000"/>
                <w:szCs w:val="24"/>
              </w:rPr>
              <w:t>Sum</w:t>
            </w:r>
          </w:p>
        </w:tc>
        <w:tc>
          <w:tcPr>
            <w:tcW w:w="1436" w:type="dxa"/>
            <w:tcBorders>
              <w:top w:val="nil"/>
              <w:left w:val="nil"/>
              <w:bottom w:val="single" w:sz="4" w:space="0" w:color="auto"/>
              <w:right w:val="nil"/>
            </w:tcBorders>
            <w:shd w:val="clear" w:color="auto" w:fill="auto"/>
            <w:noWrap/>
            <w:vAlign w:val="bottom"/>
          </w:tcPr>
          <w:p w:rsidR="006C3EF8" w:rsidRPr="006C3EF8" w:rsidRDefault="006C3EF8" w:rsidP="00772C9C">
            <w:pPr>
              <w:jc w:val="center"/>
              <w:rPr>
                <w:rFonts w:cs="Times New Roman"/>
                <w:color w:val="000000"/>
              </w:rPr>
            </w:pPr>
            <w:r w:rsidRPr="006C3EF8">
              <w:rPr>
                <w:rFonts w:cs="Times New Roman"/>
                <w:color w:val="000000"/>
              </w:rPr>
              <w:t>574</w:t>
            </w:r>
          </w:p>
        </w:tc>
        <w:tc>
          <w:tcPr>
            <w:tcW w:w="956" w:type="dxa"/>
            <w:tcBorders>
              <w:top w:val="nil"/>
              <w:left w:val="nil"/>
              <w:bottom w:val="single" w:sz="4" w:space="0" w:color="auto"/>
              <w:right w:val="single" w:sz="4" w:space="0" w:color="auto"/>
            </w:tcBorders>
            <w:vAlign w:val="bottom"/>
          </w:tcPr>
          <w:p w:rsidR="006C3EF8" w:rsidRPr="006C3EF8" w:rsidRDefault="006C3EF8" w:rsidP="00772C9C">
            <w:pPr>
              <w:jc w:val="center"/>
              <w:rPr>
                <w:rFonts w:cs="Times New Roman"/>
                <w:color w:val="000000"/>
              </w:rPr>
            </w:pPr>
            <w:r w:rsidRPr="006C3EF8">
              <w:rPr>
                <w:rFonts w:cs="Times New Roman"/>
                <w:color w:val="000000"/>
                <w:szCs w:val="24"/>
              </w:rPr>
              <w:t>100%</w:t>
            </w:r>
          </w:p>
        </w:tc>
        <w:tc>
          <w:tcPr>
            <w:tcW w:w="1350" w:type="dxa"/>
            <w:tcBorders>
              <w:top w:val="nil"/>
              <w:left w:val="single" w:sz="4" w:space="0" w:color="auto"/>
              <w:bottom w:val="single" w:sz="4" w:space="0" w:color="auto"/>
              <w:right w:val="nil"/>
            </w:tcBorders>
            <w:shd w:val="clear" w:color="auto" w:fill="auto"/>
            <w:noWrap/>
            <w:vAlign w:val="bottom"/>
          </w:tcPr>
          <w:p w:rsidR="006C3EF8" w:rsidRPr="006C3EF8" w:rsidRDefault="006C3EF8" w:rsidP="00772C9C">
            <w:pPr>
              <w:jc w:val="center"/>
              <w:rPr>
                <w:rFonts w:cs="Times New Roman"/>
                <w:color w:val="000000"/>
              </w:rPr>
            </w:pPr>
            <w:r w:rsidRPr="006C3EF8">
              <w:rPr>
                <w:rFonts w:cs="Times New Roman"/>
                <w:color w:val="000000"/>
              </w:rPr>
              <w:t>839</w:t>
            </w:r>
          </w:p>
        </w:tc>
        <w:tc>
          <w:tcPr>
            <w:tcW w:w="956" w:type="dxa"/>
            <w:tcBorders>
              <w:top w:val="nil"/>
              <w:left w:val="nil"/>
              <w:bottom w:val="single" w:sz="4" w:space="0" w:color="auto"/>
              <w:right w:val="nil"/>
            </w:tcBorders>
            <w:vAlign w:val="bottom"/>
          </w:tcPr>
          <w:p w:rsidR="006C3EF8" w:rsidRPr="006C3EF8" w:rsidRDefault="006C3EF8" w:rsidP="00772C9C">
            <w:pPr>
              <w:jc w:val="center"/>
              <w:rPr>
                <w:rFonts w:cs="Times New Roman"/>
                <w:color w:val="000000"/>
              </w:rPr>
            </w:pPr>
            <w:r w:rsidRPr="006C3EF8">
              <w:rPr>
                <w:rFonts w:cs="Times New Roman"/>
                <w:color w:val="000000"/>
                <w:szCs w:val="24"/>
              </w:rPr>
              <w:t>100%</w:t>
            </w:r>
          </w:p>
        </w:tc>
      </w:tr>
    </w:tbl>
    <w:p w:rsidR="006C3EF8" w:rsidRDefault="006C3EF8" w:rsidP="00772C9C">
      <w:pPr>
        <w:jc w:val="center"/>
        <w:rPr>
          <w:b/>
        </w:rPr>
      </w:pPr>
    </w:p>
    <w:p w:rsidR="006C3EF8" w:rsidRDefault="006C3EF8" w:rsidP="00772C9C">
      <w:pPr>
        <w:jc w:val="center"/>
        <w:rPr>
          <w:b/>
        </w:rPr>
      </w:pPr>
    </w:p>
    <w:p w:rsidR="00616877" w:rsidRDefault="00616877" w:rsidP="00772C9C">
      <w:pPr>
        <w:jc w:val="center"/>
        <w:rPr>
          <w:b/>
        </w:rPr>
      </w:pPr>
    </w:p>
    <w:p w:rsidR="00616877" w:rsidRPr="00616877" w:rsidRDefault="00616877" w:rsidP="00772C9C">
      <w:pPr>
        <w:rPr>
          <w:b/>
        </w:rPr>
      </w:pPr>
      <w:r w:rsidRPr="00616877">
        <w:rPr>
          <w:b/>
        </w:rPr>
        <w:t>P-Curve collapsing across all studies</w:t>
      </w:r>
    </w:p>
    <w:p w:rsidR="0092168F" w:rsidRPr="00422CF8" w:rsidRDefault="0092168F" w:rsidP="00772C9C">
      <w:pPr>
        <w:ind w:firstLine="720"/>
      </w:pPr>
      <w:r>
        <w:t xml:space="preserve">We looked at the distribution of calculated </w:t>
      </w:r>
      <w:r w:rsidRPr="001A6697">
        <w:rPr>
          <w:i/>
        </w:rPr>
        <w:t>p</w:t>
      </w:r>
      <w:r>
        <w:t xml:space="preserve">-values for all studies reported separately for the </w:t>
      </w:r>
      <w:r>
        <w:rPr>
          <w:rFonts w:cs="Times New Roman"/>
          <w:color w:val="000000"/>
          <w:szCs w:val="24"/>
        </w:rPr>
        <w:t xml:space="preserve">original P-curve and </w:t>
      </w:r>
      <w:r w:rsidRPr="00D77FC3">
        <w:t xml:space="preserve">ambitious </w:t>
      </w:r>
      <w:r w:rsidRPr="00AB24C7">
        <w:rPr>
          <w:rFonts w:cs="Times New Roman"/>
          <w:i/>
          <w:color w:val="000000"/>
          <w:szCs w:val="24"/>
        </w:rPr>
        <w:t>P</w:t>
      </w:r>
      <w:r>
        <w:rPr>
          <w:rFonts w:cs="Times New Roman"/>
          <w:color w:val="000000"/>
          <w:szCs w:val="24"/>
        </w:rPr>
        <w:t xml:space="preserve">-curve by treating our sample as if it were one paper with 954 studies. </w:t>
      </w:r>
      <w:r>
        <w:t xml:space="preserve">Using the </w:t>
      </w:r>
      <w:r>
        <w:rPr>
          <w:rFonts w:cs="Times New Roman"/>
          <w:color w:val="000000"/>
          <w:szCs w:val="24"/>
        </w:rPr>
        <w:t xml:space="preserve">original </w:t>
      </w:r>
      <w:r w:rsidRPr="00AB24C7">
        <w:rPr>
          <w:rFonts w:cs="Times New Roman"/>
          <w:i/>
          <w:color w:val="000000"/>
          <w:szCs w:val="24"/>
        </w:rPr>
        <w:t>P</w:t>
      </w:r>
      <w:r>
        <w:rPr>
          <w:rFonts w:cs="Times New Roman"/>
          <w:color w:val="000000"/>
          <w:szCs w:val="24"/>
        </w:rPr>
        <w:t>-curve,</w:t>
      </w:r>
      <w:r>
        <w:t xml:space="preserve"> we found that there were significantly more </w:t>
      </w:r>
      <w:r w:rsidRPr="004F4563">
        <w:rPr>
          <w:i/>
        </w:rPr>
        <w:t>p</w:t>
      </w:r>
      <w:r>
        <w:t xml:space="preserve">-values that were smaller (i.e., less than .04, and therefore consistent with evidentiary value) than larger (i.e., between .04 and .05, which estimates the degree of </w:t>
      </w:r>
      <w:r>
        <w:rPr>
          <w:i/>
        </w:rPr>
        <w:t>p-</w:t>
      </w:r>
      <w:r>
        <w:t xml:space="preserve">hacking), in both 2003-2004 (92.84% vs 7.17%, </w:t>
      </w:r>
      <w:r w:rsidRPr="007552F7">
        <w:rPr>
          <w:i/>
        </w:rPr>
        <w:t>p</w:t>
      </w:r>
      <w:r>
        <w:t xml:space="preserve"> &lt; .0001) and 2013-2014 (91.63 % vs 8.37%, </w:t>
      </w:r>
      <w:r w:rsidRPr="009D120E">
        <w:rPr>
          <w:i/>
        </w:rPr>
        <w:t>p</w:t>
      </w:r>
      <w:r>
        <w:t xml:space="preserve"> &lt; .0001). </w:t>
      </w:r>
      <w:r>
        <w:rPr>
          <w:rFonts w:cs="Times New Roman"/>
          <w:color w:val="000000"/>
          <w:szCs w:val="24"/>
        </w:rPr>
        <w:t xml:space="preserve">Moreover, a two-way </w:t>
      </w:r>
      <w:r w:rsidRPr="00B45739">
        <w:rPr>
          <w:rFonts w:cs="Times New Roman"/>
          <w:color w:val="000000"/>
          <w:szCs w:val="24"/>
        </w:rPr>
        <w:sym w:font="Symbol" w:char="F063"/>
      </w:r>
      <w:r w:rsidRPr="00B45739">
        <w:rPr>
          <w:rFonts w:cs="Times New Roman"/>
          <w:color w:val="000000"/>
          <w:szCs w:val="24"/>
          <w:vertAlign w:val="superscript"/>
        </w:rPr>
        <w:t>2</w:t>
      </w:r>
      <w:r>
        <w:rPr>
          <w:rFonts w:cs="Times New Roman"/>
          <w:color w:val="000000"/>
          <w:szCs w:val="24"/>
          <w:vertAlign w:val="superscript"/>
        </w:rPr>
        <w:t xml:space="preserve"> </w:t>
      </w:r>
      <w:r>
        <w:rPr>
          <w:rFonts w:cs="Times New Roman"/>
          <w:color w:val="000000"/>
          <w:szCs w:val="24"/>
        </w:rPr>
        <w:t xml:space="preserve">test comparing these distributions over the two time periods revealed that there was no difference between original </w:t>
      </w:r>
      <w:r>
        <w:rPr>
          <w:rFonts w:cs="Times New Roman"/>
          <w:i/>
          <w:color w:val="000000"/>
          <w:szCs w:val="24"/>
        </w:rPr>
        <w:t>P</w:t>
      </w:r>
      <w:r>
        <w:rPr>
          <w:rFonts w:cs="Times New Roman"/>
          <w:color w:val="000000"/>
          <w:szCs w:val="24"/>
        </w:rPr>
        <w:t xml:space="preserve">-curves reported in 2003-2004 and 2013-2014, </w:t>
      </w:r>
      <w:r w:rsidRPr="00B45739">
        <w:rPr>
          <w:rFonts w:cs="Times New Roman"/>
          <w:color w:val="000000"/>
          <w:szCs w:val="24"/>
        </w:rPr>
        <w:sym w:font="Symbol" w:char="F063"/>
      </w:r>
      <w:r w:rsidRPr="00B45739">
        <w:rPr>
          <w:rFonts w:cs="Times New Roman"/>
          <w:color w:val="000000"/>
          <w:szCs w:val="24"/>
          <w:vertAlign w:val="superscript"/>
        </w:rPr>
        <w:t>2</w:t>
      </w:r>
      <w:r>
        <w:rPr>
          <w:rFonts w:cs="Times New Roman"/>
          <w:color w:val="000000"/>
          <w:szCs w:val="24"/>
        </w:rPr>
        <w:t xml:space="preserve"> (1</w:t>
      </w:r>
      <w:r w:rsidRPr="00B45739">
        <w:rPr>
          <w:rFonts w:cs="Times New Roman"/>
          <w:color w:val="000000"/>
          <w:szCs w:val="24"/>
        </w:rPr>
        <w:t xml:space="preserve">, </w:t>
      </w:r>
      <w:r w:rsidRPr="00B45739">
        <w:rPr>
          <w:rFonts w:cs="Times New Roman"/>
          <w:i/>
          <w:color w:val="000000"/>
          <w:szCs w:val="24"/>
        </w:rPr>
        <w:t>N</w:t>
      </w:r>
      <w:r w:rsidRPr="00B45739">
        <w:rPr>
          <w:rFonts w:cs="Times New Roman"/>
          <w:color w:val="000000"/>
          <w:szCs w:val="24"/>
        </w:rPr>
        <w:t xml:space="preserve"> =</w:t>
      </w:r>
      <w:r>
        <w:rPr>
          <w:rFonts w:cs="Times New Roman"/>
          <w:color w:val="000000"/>
          <w:szCs w:val="24"/>
        </w:rPr>
        <w:t xml:space="preserve"> 954) = 0.28, </w:t>
      </w:r>
      <w:r w:rsidRPr="00B45739">
        <w:rPr>
          <w:rFonts w:cs="Times New Roman"/>
          <w:i/>
          <w:color w:val="000000"/>
          <w:szCs w:val="24"/>
        </w:rPr>
        <w:t>p</w:t>
      </w:r>
      <w:r>
        <w:rPr>
          <w:rFonts w:cs="Times New Roman"/>
          <w:color w:val="000000"/>
          <w:szCs w:val="24"/>
        </w:rPr>
        <w:t xml:space="preserve"> = .6, </w:t>
      </w:r>
      <w:r w:rsidRPr="008F40BD">
        <w:rPr>
          <w:rFonts w:cs="Times New Roman"/>
          <w:i/>
          <w:color w:val="000000"/>
          <w:szCs w:val="24"/>
        </w:rPr>
        <w:t>Cramer’s V</w:t>
      </w:r>
      <w:r>
        <w:rPr>
          <w:rFonts w:cs="Times New Roman"/>
          <w:color w:val="000000"/>
          <w:szCs w:val="24"/>
        </w:rPr>
        <w:t xml:space="preserve"> = .02. </w:t>
      </w:r>
      <w:r>
        <w:t xml:space="preserve"> </w:t>
      </w:r>
    </w:p>
    <w:p w:rsidR="0092168F" w:rsidRDefault="0092168F" w:rsidP="00772C9C">
      <w:pPr>
        <w:ind w:firstLine="720"/>
        <w:rPr>
          <w:rFonts w:cs="Times New Roman"/>
          <w:color w:val="000000"/>
          <w:szCs w:val="24"/>
        </w:rPr>
      </w:pPr>
      <w:r>
        <w:lastRenderedPageBreak/>
        <w:t xml:space="preserve">Using the </w:t>
      </w:r>
      <w:r w:rsidRPr="00D77FC3">
        <w:t xml:space="preserve">ambitious </w:t>
      </w:r>
      <w:r w:rsidRPr="00AB24C7">
        <w:rPr>
          <w:rFonts w:cs="Times New Roman"/>
          <w:i/>
          <w:color w:val="000000"/>
          <w:szCs w:val="24"/>
        </w:rPr>
        <w:t>P</w:t>
      </w:r>
      <w:r>
        <w:rPr>
          <w:rFonts w:cs="Times New Roman"/>
          <w:color w:val="000000"/>
          <w:szCs w:val="24"/>
        </w:rPr>
        <w:t>-curve definition,</w:t>
      </w:r>
      <w:r>
        <w:t xml:space="preserve"> we also found that there were significantly more </w:t>
      </w:r>
      <w:r w:rsidRPr="004F4563">
        <w:rPr>
          <w:i/>
        </w:rPr>
        <w:t>p</w:t>
      </w:r>
      <w:r>
        <w:t xml:space="preserve">-values that were smaller (i.e., less than .025) than larger (i.e., between .025 and .05), in both 2003-2004 (81.31% vs 18.69%, </w:t>
      </w:r>
      <w:r w:rsidRPr="007552F7">
        <w:rPr>
          <w:i/>
        </w:rPr>
        <w:t>p</w:t>
      </w:r>
      <w:r>
        <w:t xml:space="preserve"> &lt; .0001) and 2013-2014 (78.99% vs 21.01%, </w:t>
      </w:r>
      <w:r w:rsidRPr="009D120E">
        <w:rPr>
          <w:i/>
        </w:rPr>
        <w:t>p</w:t>
      </w:r>
      <w:r>
        <w:t xml:space="preserve"> &lt; .0001). </w:t>
      </w:r>
      <w:r>
        <w:rPr>
          <w:rFonts w:cs="Times New Roman"/>
          <w:color w:val="000000"/>
          <w:szCs w:val="24"/>
        </w:rPr>
        <w:t xml:space="preserve">Moreover, a two-way </w:t>
      </w:r>
      <w:r w:rsidRPr="00B45739">
        <w:rPr>
          <w:rFonts w:cs="Times New Roman"/>
          <w:color w:val="000000"/>
          <w:szCs w:val="24"/>
        </w:rPr>
        <w:sym w:font="Symbol" w:char="F063"/>
      </w:r>
      <w:r w:rsidRPr="00B45739">
        <w:rPr>
          <w:rFonts w:cs="Times New Roman"/>
          <w:color w:val="000000"/>
          <w:szCs w:val="24"/>
          <w:vertAlign w:val="superscript"/>
        </w:rPr>
        <w:t>2</w:t>
      </w:r>
      <w:r>
        <w:rPr>
          <w:rFonts w:cs="Times New Roman"/>
          <w:color w:val="000000"/>
          <w:szCs w:val="24"/>
          <w:vertAlign w:val="superscript"/>
        </w:rPr>
        <w:t xml:space="preserve"> </w:t>
      </w:r>
      <w:r>
        <w:rPr>
          <w:rFonts w:cs="Times New Roman"/>
          <w:color w:val="000000"/>
          <w:szCs w:val="24"/>
        </w:rPr>
        <w:t xml:space="preserve">test comparing these distributions over the two time periods similarly revealed that there was no difference between </w:t>
      </w:r>
      <w:r w:rsidRPr="001313E7">
        <w:rPr>
          <w:rFonts w:cs="Times New Roman"/>
          <w:i/>
          <w:color w:val="000000"/>
          <w:szCs w:val="24"/>
        </w:rPr>
        <w:t>p</w:t>
      </w:r>
      <w:r>
        <w:rPr>
          <w:rFonts w:cs="Times New Roman"/>
          <w:color w:val="000000"/>
          <w:szCs w:val="24"/>
        </w:rPr>
        <w:t xml:space="preserve">-values reported in 2003-2004 and 2013-2014, </w:t>
      </w:r>
      <w:r w:rsidRPr="00B45739">
        <w:rPr>
          <w:rFonts w:cs="Times New Roman"/>
          <w:color w:val="000000"/>
          <w:szCs w:val="24"/>
        </w:rPr>
        <w:sym w:font="Symbol" w:char="F063"/>
      </w:r>
      <w:r w:rsidRPr="00B45739">
        <w:rPr>
          <w:rFonts w:cs="Times New Roman"/>
          <w:color w:val="000000"/>
          <w:szCs w:val="24"/>
          <w:vertAlign w:val="superscript"/>
        </w:rPr>
        <w:t>2</w:t>
      </w:r>
      <w:r>
        <w:rPr>
          <w:rFonts w:cs="Times New Roman"/>
          <w:color w:val="000000"/>
          <w:szCs w:val="24"/>
        </w:rPr>
        <w:t xml:space="preserve"> (1</w:t>
      </w:r>
      <w:r w:rsidRPr="00B45739">
        <w:rPr>
          <w:rFonts w:cs="Times New Roman"/>
          <w:color w:val="000000"/>
          <w:szCs w:val="24"/>
        </w:rPr>
        <w:t xml:space="preserve">, </w:t>
      </w:r>
      <w:r w:rsidRPr="00B45739">
        <w:rPr>
          <w:rFonts w:cs="Times New Roman"/>
          <w:i/>
          <w:color w:val="000000"/>
          <w:szCs w:val="24"/>
        </w:rPr>
        <w:t>N</w:t>
      </w:r>
      <w:r w:rsidRPr="00B45739">
        <w:rPr>
          <w:rFonts w:cs="Times New Roman"/>
          <w:color w:val="000000"/>
          <w:szCs w:val="24"/>
        </w:rPr>
        <w:t xml:space="preserve"> =</w:t>
      </w:r>
      <w:r>
        <w:rPr>
          <w:rFonts w:cs="Times New Roman"/>
          <w:color w:val="000000"/>
          <w:szCs w:val="24"/>
        </w:rPr>
        <w:t xml:space="preserve"> 954) = 0.57, </w:t>
      </w:r>
      <w:r w:rsidRPr="00B45739">
        <w:rPr>
          <w:rFonts w:cs="Times New Roman"/>
          <w:i/>
          <w:color w:val="000000"/>
          <w:szCs w:val="24"/>
        </w:rPr>
        <w:t>p</w:t>
      </w:r>
      <w:r>
        <w:rPr>
          <w:rFonts w:cs="Times New Roman"/>
          <w:color w:val="000000"/>
          <w:szCs w:val="24"/>
        </w:rPr>
        <w:t xml:space="preserve"> = .45, </w:t>
      </w:r>
      <w:r w:rsidRPr="008F40BD">
        <w:rPr>
          <w:rFonts w:cs="Times New Roman"/>
          <w:i/>
          <w:color w:val="000000"/>
          <w:szCs w:val="24"/>
        </w:rPr>
        <w:t>Cramer’s V</w:t>
      </w:r>
      <w:r>
        <w:rPr>
          <w:rFonts w:cs="Times New Roman"/>
          <w:color w:val="000000"/>
          <w:szCs w:val="24"/>
        </w:rPr>
        <w:t xml:space="preserve"> = .02. Thus, when collapsing across all studies, roughly 80%-95% of studies demonstrate evidentiary value within each time period and no difference between the time periods, according to the original and </w:t>
      </w:r>
      <w:r w:rsidRPr="00D77FC3">
        <w:t xml:space="preserve">ambitious </w:t>
      </w:r>
      <w:r w:rsidRPr="006161F0">
        <w:rPr>
          <w:rFonts w:cs="Times New Roman"/>
          <w:i/>
          <w:color w:val="000000"/>
          <w:szCs w:val="24"/>
        </w:rPr>
        <w:t>P</w:t>
      </w:r>
      <w:r>
        <w:rPr>
          <w:rFonts w:cs="Times New Roman"/>
          <w:color w:val="000000"/>
          <w:szCs w:val="24"/>
        </w:rPr>
        <w:t xml:space="preserve">-curve types, respectively. </w:t>
      </w:r>
      <w:r w:rsidRPr="00D77FC3">
        <w:rPr>
          <w:rFonts w:cs="Times New Roman"/>
          <w:i/>
          <w:color w:val="000000"/>
          <w:szCs w:val="24"/>
        </w:rPr>
        <w:t>P</w:t>
      </w:r>
      <w:r>
        <w:rPr>
          <w:rFonts w:cs="Times New Roman"/>
          <w:color w:val="000000"/>
          <w:szCs w:val="24"/>
        </w:rPr>
        <w:t xml:space="preserve">-curve analysis collapsing across all studies therefore suggests it is </w:t>
      </w:r>
      <w:r w:rsidRPr="00D77FC3">
        <w:rPr>
          <w:rFonts w:cs="Times New Roman"/>
          <w:i/>
          <w:color w:val="000000"/>
          <w:szCs w:val="24"/>
        </w:rPr>
        <w:t>not so bad</w:t>
      </w:r>
      <w:r>
        <w:rPr>
          <w:rFonts w:cs="Times New Roman"/>
          <w:color w:val="000000"/>
          <w:szCs w:val="24"/>
        </w:rPr>
        <w:t xml:space="preserve"> and that it is not </w:t>
      </w:r>
      <w:r w:rsidRPr="00D77FC3">
        <w:rPr>
          <w:rFonts w:cs="Times New Roman"/>
          <w:i/>
          <w:color w:val="000000"/>
          <w:szCs w:val="24"/>
        </w:rPr>
        <w:t>getting better</w:t>
      </w:r>
      <w:r>
        <w:rPr>
          <w:rFonts w:cs="Times New Roman"/>
          <w:color w:val="000000"/>
          <w:szCs w:val="24"/>
        </w:rPr>
        <w:t xml:space="preserve"> or </w:t>
      </w:r>
      <w:r w:rsidRPr="00D77FC3">
        <w:rPr>
          <w:rFonts w:cs="Times New Roman"/>
          <w:i/>
          <w:color w:val="000000"/>
          <w:szCs w:val="24"/>
        </w:rPr>
        <w:t>getting worse</w:t>
      </w:r>
      <w:r>
        <w:rPr>
          <w:rFonts w:cs="Times New Roman"/>
          <w:color w:val="000000"/>
          <w:szCs w:val="24"/>
        </w:rPr>
        <w:t>.</w:t>
      </w:r>
    </w:p>
    <w:p w:rsidR="009D53E8" w:rsidRDefault="009D53E8" w:rsidP="00772C9C"/>
    <w:p w:rsidR="00616877" w:rsidRPr="00616877" w:rsidRDefault="00616877" w:rsidP="00772C9C">
      <w:pPr>
        <w:rPr>
          <w:b/>
        </w:rPr>
      </w:pPr>
      <w:r w:rsidRPr="00616877">
        <w:rPr>
          <w:b/>
        </w:rPr>
        <w:t>Citation Rate Analysis</w:t>
      </w:r>
    </w:p>
    <w:p w:rsidR="009D53E8" w:rsidRDefault="009D53E8" w:rsidP="00772C9C">
      <w:pPr>
        <w:ind w:firstLine="720"/>
      </w:pPr>
      <w:r>
        <w:t xml:space="preserve">In addition to these variants on the p-curve analyses, we also tried to identify visible, influential, and famous papers within our sample by coding how frequently those papers had been cited and then looking within each time period to see how citation (one proxy measure for scientific influence and fame) relates to the replicability metrics. We approached this question in two ways. First we examined the correlation between the citation rate and sample size, effect size, and power. If researchers were citing bad apples papers, those papers would have unusually small sample sizes and/or large effect sizes.  Second, we examined the replicability metrics </w:t>
      </w:r>
      <w:r w:rsidR="00616877">
        <w:t xml:space="preserve">use examined in Table 4 of the paper </w:t>
      </w:r>
      <w:r>
        <w:t>(</w:t>
      </w:r>
      <w:r w:rsidR="00616877">
        <w:t xml:space="preserve">P-curve, N-pact, a </w:t>
      </w:r>
      <w:r w:rsidR="005204A8">
        <w:t>priori power</w:t>
      </w:r>
      <w:r w:rsidR="00616877">
        <w:t xml:space="preserve">, </w:t>
      </w:r>
      <w:r w:rsidR="005204A8">
        <w:t xml:space="preserve">observed </w:t>
      </w:r>
      <w:r>
        <w:t xml:space="preserve">power, </w:t>
      </w:r>
      <w:r w:rsidR="005204A8">
        <w:t>TIVA Z-curve, &amp; R-index</w:t>
      </w:r>
      <w:r>
        <w:t>) the top 90</w:t>
      </w:r>
      <w:r w:rsidRPr="0072377D">
        <w:rPr>
          <w:vertAlign w:val="superscript"/>
        </w:rPr>
        <w:t>th</w:t>
      </w:r>
      <w:r>
        <w:t xml:space="preserve"> percentile of papers in terms of citation rate (relative to each time period) and ran the non-parametric inferential test we used in the paper (i.e., BCA bootstrap) between the middle of the distribution (45-55</w:t>
      </w:r>
      <w:r w:rsidRPr="0072377D">
        <w:rPr>
          <w:vertAlign w:val="superscript"/>
        </w:rPr>
        <w:t>th</w:t>
      </w:r>
      <w:r>
        <w:t xml:space="preserve"> percentile) of cited papers. If the well cited papers (90</w:t>
      </w:r>
      <w:r w:rsidRPr="0072377D">
        <w:rPr>
          <w:vertAlign w:val="superscript"/>
        </w:rPr>
        <w:t>th</w:t>
      </w:r>
      <w:r>
        <w:t xml:space="preserve"> percentile) are rotten apples they should have smaller samples, higher effect sizes, lower reported power</w:t>
      </w:r>
      <w:r w:rsidR="005204A8">
        <w:t>, and lower replicability metrics</w:t>
      </w:r>
      <w:r>
        <w:t xml:space="preserve">.   </w:t>
      </w:r>
    </w:p>
    <w:p w:rsidR="00616877" w:rsidRDefault="009D53E8" w:rsidP="00772C9C">
      <w:pPr>
        <w:ind w:firstLine="720"/>
      </w:pPr>
      <w:r w:rsidRPr="00616877">
        <w:rPr>
          <w:b/>
        </w:rPr>
        <w:t>Correlation approach</w:t>
      </w:r>
      <w:r w:rsidR="00616877">
        <w:t>.</w:t>
      </w:r>
      <w:r>
        <w:t xml:space="preserve"> The number of citations was not correlated in other time period with sample size (2003-2004: Kendall’s </w:t>
      </w:r>
      <w:r w:rsidRPr="009671BB">
        <w:rPr>
          <w:color w:val="252525"/>
          <w:szCs w:val="18"/>
          <w:shd w:val="clear" w:color="auto" w:fill="F9F9F9"/>
        </w:rPr>
        <w:t>τ</w:t>
      </w:r>
      <w:r>
        <w:t xml:space="preserve">(505) = .035; 2013-2014: Kendall’s </w:t>
      </w:r>
      <w:r w:rsidRPr="009671BB">
        <w:rPr>
          <w:color w:val="252525"/>
          <w:szCs w:val="18"/>
          <w:shd w:val="clear" w:color="auto" w:fill="F9F9F9"/>
        </w:rPr>
        <w:t>τ</w:t>
      </w:r>
      <w:r>
        <w:t xml:space="preserve">(978) = -.007) or estimated effect size (2003-2004: Kendall’s </w:t>
      </w:r>
      <w:r w:rsidRPr="009671BB">
        <w:rPr>
          <w:color w:val="252525"/>
          <w:szCs w:val="18"/>
          <w:shd w:val="clear" w:color="auto" w:fill="F9F9F9"/>
        </w:rPr>
        <w:t>τ</w:t>
      </w:r>
      <w:r>
        <w:t xml:space="preserve">(341) = .015; 2013-2014: Kendall’s </w:t>
      </w:r>
      <w:r w:rsidRPr="009671BB">
        <w:rPr>
          <w:color w:val="252525"/>
          <w:szCs w:val="18"/>
          <w:shd w:val="clear" w:color="auto" w:fill="F9F9F9"/>
        </w:rPr>
        <w:t>τ</w:t>
      </w:r>
      <w:r>
        <w:t xml:space="preserve">(655) = .043), post-hoc power (2003-2004: Kendall’s </w:t>
      </w:r>
      <w:r w:rsidRPr="009671BB">
        <w:rPr>
          <w:color w:val="252525"/>
          <w:szCs w:val="18"/>
          <w:shd w:val="clear" w:color="auto" w:fill="F9F9F9"/>
        </w:rPr>
        <w:t>τ</w:t>
      </w:r>
      <w:r>
        <w:t xml:space="preserve">(356) = -.012; 2013-2014: Kendall’s </w:t>
      </w:r>
      <w:r w:rsidRPr="009671BB">
        <w:rPr>
          <w:color w:val="252525"/>
          <w:szCs w:val="18"/>
          <w:shd w:val="clear" w:color="auto" w:fill="F9F9F9"/>
        </w:rPr>
        <w:t>τ</w:t>
      </w:r>
      <w:r>
        <w:t xml:space="preserve">(683) = .019).   In addition there were no differences between time periods for those correlations for sample size, </w:t>
      </w:r>
      <w:r w:rsidRPr="0072377D">
        <w:rPr>
          <w:i/>
        </w:rPr>
        <w:t>z</w:t>
      </w:r>
      <w:r>
        <w:t xml:space="preserve"> = 0.76, </w:t>
      </w:r>
      <w:r w:rsidRPr="0072377D">
        <w:rPr>
          <w:i/>
        </w:rPr>
        <w:t>p</w:t>
      </w:r>
      <w:r>
        <w:t xml:space="preserve"> = .45, effect size, </w:t>
      </w:r>
      <w:r w:rsidRPr="0072377D">
        <w:rPr>
          <w:i/>
        </w:rPr>
        <w:t>z</w:t>
      </w:r>
      <w:r>
        <w:t xml:space="preserve"> = .41, </w:t>
      </w:r>
      <w:r w:rsidRPr="0072377D">
        <w:rPr>
          <w:i/>
        </w:rPr>
        <w:t>p</w:t>
      </w:r>
      <w:r>
        <w:t xml:space="preserve"> = .68 or post-hoc power </w:t>
      </w:r>
      <w:r w:rsidRPr="0072377D">
        <w:rPr>
          <w:i/>
        </w:rPr>
        <w:t>z</w:t>
      </w:r>
      <w:r>
        <w:t xml:space="preserve"> = .47, </w:t>
      </w:r>
      <w:r w:rsidRPr="0072377D">
        <w:rPr>
          <w:i/>
        </w:rPr>
        <w:t>p</w:t>
      </w:r>
      <w:r>
        <w:t xml:space="preserve"> = .64. These results suggest that highly cited papers are no more likely to be “rotten” than papers not cited as highly.</w:t>
      </w:r>
    </w:p>
    <w:p w:rsidR="009D53E8" w:rsidRDefault="009D53E8" w:rsidP="00772C9C">
      <w:pPr>
        <w:ind w:firstLine="720"/>
      </w:pPr>
      <w:r w:rsidRPr="00616877">
        <w:rPr>
          <w:b/>
        </w:rPr>
        <w:t>Bootstrap approach</w:t>
      </w:r>
      <w:r w:rsidR="006C3EF8">
        <w:t>. Tables S3 and S4</w:t>
      </w:r>
      <w:r>
        <w:t xml:space="preserve"> shows the results of the analysis comparing the 90</w:t>
      </w:r>
      <w:r w:rsidRPr="0072377D">
        <w:rPr>
          <w:vertAlign w:val="superscript"/>
        </w:rPr>
        <w:t>th</w:t>
      </w:r>
      <w:r>
        <w:t xml:space="preserve"> and 45-55</w:t>
      </w:r>
      <w:r w:rsidRPr="0072377D">
        <w:rPr>
          <w:vertAlign w:val="superscript"/>
        </w:rPr>
        <w:t>th</w:t>
      </w:r>
      <w:r>
        <w:t xml:space="preserve"> percentile of papers in terms of citation rate separately for each time period. Results suggest no differences between the 90</w:t>
      </w:r>
      <w:r w:rsidRPr="0072377D">
        <w:rPr>
          <w:vertAlign w:val="superscript"/>
        </w:rPr>
        <w:t>th</w:t>
      </w:r>
      <w:r>
        <w:t xml:space="preserve"> and 45-55</w:t>
      </w:r>
      <w:r w:rsidRPr="0072377D">
        <w:rPr>
          <w:vertAlign w:val="superscript"/>
        </w:rPr>
        <w:t>th</w:t>
      </w:r>
      <w:r>
        <w:t xml:space="preserve"> percentile of papers. Again, these results are inconsistent with the idea that a highly cited papers are no more likely to be “rotten” than papers not cited as highly.</w:t>
      </w:r>
    </w:p>
    <w:p w:rsidR="009D53E8" w:rsidRDefault="009D53E8" w:rsidP="00772C9C"/>
    <w:p w:rsidR="00616877" w:rsidRPr="00E3359B" w:rsidRDefault="00616877" w:rsidP="00772C9C">
      <w:r w:rsidRPr="00E3359B">
        <w:t xml:space="preserve">Table </w:t>
      </w:r>
      <w:r w:rsidR="006C3EF8">
        <w:t>S3</w:t>
      </w:r>
      <w:r w:rsidRPr="00E3359B">
        <w:t>.</w:t>
      </w:r>
    </w:p>
    <w:p w:rsidR="00616877" w:rsidRPr="00E3359B" w:rsidRDefault="00616877" w:rsidP="00772C9C">
      <w:pPr>
        <w:rPr>
          <w:i/>
        </w:rPr>
      </w:pPr>
      <w:r w:rsidRPr="00E3359B">
        <w:rPr>
          <w:i/>
        </w:rPr>
        <w:t>Summary statistics for citation rate groupings for 2013-2014 with 95% BCa CIs</w:t>
      </w:r>
      <w:r w:rsidR="006C3EF8">
        <w:rPr>
          <w:i/>
        </w:rPr>
        <w:t>.</w:t>
      </w:r>
      <w:r w:rsidRPr="00E3359B">
        <w:rPr>
          <w:i/>
        </w:rPr>
        <w:t xml:space="preserve">   </w:t>
      </w:r>
    </w:p>
    <w:p w:rsidR="0055479F" w:rsidRPr="00546282" w:rsidRDefault="0055479F" w:rsidP="00772C9C">
      <w:pPr>
        <w:rPr>
          <w:i/>
        </w:rPr>
      </w:pPr>
    </w:p>
    <w:tbl>
      <w:tblPr>
        <w:tblW w:w="9377" w:type="dxa"/>
        <w:tblLayout w:type="fixed"/>
        <w:tblLook w:val="04A0" w:firstRow="1" w:lastRow="0" w:firstColumn="1" w:lastColumn="0" w:noHBand="0" w:noVBand="1"/>
      </w:tblPr>
      <w:tblGrid>
        <w:gridCol w:w="2898"/>
        <w:gridCol w:w="1530"/>
        <w:gridCol w:w="900"/>
        <w:gridCol w:w="900"/>
        <w:gridCol w:w="1260"/>
        <w:gridCol w:w="972"/>
        <w:gridCol w:w="917"/>
      </w:tblGrid>
      <w:tr w:rsidR="009D53E8" w:rsidRPr="00546282" w:rsidTr="00106E6B">
        <w:trPr>
          <w:trHeight w:val="298"/>
        </w:trPr>
        <w:tc>
          <w:tcPr>
            <w:tcW w:w="2898" w:type="dxa"/>
            <w:tcBorders>
              <w:top w:val="nil"/>
              <w:left w:val="nil"/>
            </w:tcBorders>
            <w:shd w:val="clear" w:color="auto" w:fill="auto"/>
            <w:noWrap/>
            <w:vAlign w:val="bottom"/>
          </w:tcPr>
          <w:p w:rsidR="009D53E8" w:rsidRPr="00546282" w:rsidRDefault="009D53E8" w:rsidP="00772C9C"/>
        </w:tc>
        <w:tc>
          <w:tcPr>
            <w:tcW w:w="6479" w:type="dxa"/>
            <w:gridSpan w:val="6"/>
            <w:tcBorders>
              <w:top w:val="nil"/>
            </w:tcBorders>
            <w:shd w:val="clear" w:color="auto" w:fill="auto"/>
            <w:noWrap/>
            <w:vAlign w:val="bottom"/>
          </w:tcPr>
          <w:p w:rsidR="009D53E8" w:rsidRPr="00546282" w:rsidRDefault="009D53E8" w:rsidP="00772C9C">
            <w:pPr>
              <w:jc w:val="center"/>
              <w:rPr>
                <w:b/>
              </w:rPr>
            </w:pPr>
            <w:r w:rsidRPr="00546282">
              <w:rPr>
                <w:b/>
              </w:rPr>
              <w:t>2003-2004</w:t>
            </w:r>
          </w:p>
        </w:tc>
      </w:tr>
      <w:tr w:rsidR="009D53E8" w:rsidRPr="00546282" w:rsidTr="00106E6B">
        <w:trPr>
          <w:trHeight w:val="298"/>
        </w:trPr>
        <w:tc>
          <w:tcPr>
            <w:tcW w:w="2898" w:type="dxa"/>
            <w:tcBorders>
              <w:top w:val="nil"/>
              <w:left w:val="nil"/>
            </w:tcBorders>
            <w:shd w:val="clear" w:color="auto" w:fill="auto"/>
            <w:noWrap/>
            <w:vAlign w:val="bottom"/>
          </w:tcPr>
          <w:p w:rsidR="009D53E8" w:rsidRPr="00EC7B53" w:rsidRDefault="009D53E8" w:rsidP="00772C9C">
            <w:pPr>
              <w:jc w:val="right"/>
              <w:rPr>
                <w:b/>
              </w:rPr>
            </w:pPr>
            <w:r w:rsidRPr="00EC7B53">
              <w:rPr>
                <w:b/>
              </w:rPr>
              <w:t>Citation Percentile</w:t>
            </w:r>
            <w:r>
              <w:rPr>
                <w:b/>
              </w:rPr>
              <w:t>:</w:t>
            </w:r>
          </w:p>
        </w:tc>
        <w:tc>
          <w:tcPr>
            <w:tcW w:w="3330" w:type="dxa"/>
            <w:gridSpan w:val="3"/>
            <w:tcBorders>
              <w:top w:val="nil"/>
            </w:tcBorders>
            <w:shd w:val="clear" w:color="auto" w:fill="auto"/>
            <w:noWrap/>
            <w:vAlign w:val="bottom"/>
          </w:tcPr>
          <w:p w:rsidR="009D53E8" w:rsidRPr="00546282" w:rsidRDefault="009D53E8" w:rsidP="00772C9C">
            <w:pPr>
              <w:jc w:val="center"/>
              <w:rPr>
                <w:b/>
              </w:rPr>
            </w:pPr>
            <w:r w:rsidRPr="00546282">
              <w:rPr>
                <w:b/>
              </w:rPr>
              <w:t>45-55</w:t>
            </w:r>
            <w:r w:rsidRPr="00546282">
              <w:rPr>
                <w:b/>
                <w:vertAlign w:val="superscript"/>
              </w:rPr>
              <w:t>th</w:t>
            </w:r>
            <w:r w:rsidRPr="00546282">
              <w:rPr>
                <w:b/>
              </w:rPr>
              <w:t xml:space="preserve"> Percentile</w:t>
            </w:r>
          </w:p>
        </w:tc>
        <w:tc>
          <w:tcPr>
            <w:tcW w:w="3149" w:type="dxa"/>
            <w:gridSpan w:val="3"/>
            <w:tcBorders>
              <w:top w:val="nil"/>
              <w:right w:val="nil"/>
            </w:tcBorders>
            <w:vAlign w:val="bottom"/>
          </w:tcPr>
          <w:p w:rsidR="009D53E8" w:rsidRPr="00546282" w:rsidRDefault="009D53E8" w:rsidP="00772C9C">
            <w:pPr>
              <w:jc w:val="center"/>
              <w:rPr>
                <w:b/>
              </w:rPr>
            </w:pPr>
            <w:r w:rsidRPr="00546282">
              <w:rPr>
                <w:b/>
              </w:rPr>
              <w:t>90+</w:t>
            </w:r>
            <w:r w:rsidRPr="00546282">
              <w:rPr>
                <w:b/>
                <w:vertAlign w:val="superscript"/>
              </w:rPr>
              <w:t xml:space="preserve">th </w:t>
            </w:r>
            <w:r w:rsidRPr="00546282">
              <w:rPr>
                <w:b/>
              </w:rPr>
              <w:t xml:space="preserve"> Percentile</w:t>
            </w:r>
          </w:p>
        </w:tc>
      </w:tr>
      <w:tr w:rsidR="009D53E8" w:rsidRPr="00546282" w:rsidTr="00106E6B">
        <w:trPr>
          <w:trHeight w:val="298"/>
        </w:trPr>
        <w:tc>
          <w:tcPr>
            <w:tcW w:w="2898" w:type="dxa"/>
            <w:tcBorders>
              <w:top w:val="nil"/>
              <w:left w:val="nil"/>
            </w:tcBorders>
            <w:shd w:val="clear" w:color="auto" w:fill="auto"/>
            <w:noWrap/>
            <w:vAlign w:val="bottom"/>
          </w:tcPr>
          <w:p w:rsidR="009D53E8" w:rsidRPr="00546282" w:rsidRDefault="009D53E8" w:rsidP="00772C9C"/>
        </w:tc>
        <w:tc>
          <w:tcPr>
            <w:tcW w:w="1530" w:type="dxa"/>
            <w:tcBorders>
              <w:top w:val="nil"/>
            </w:tcBorders>
            <w:shd w:val="clear" w:color="auto" w:fill="auto"/>
            <w:noWrap/>
            <w:vAlign w:val="bottom"/>
          </w:tcPr>
          <w:p w:rsidR="009D53E8" w:rsidRPr="00546282" w:rsidRDefault="009D53E8" w:rsidP="00772C9C">
            <w:pPr>
              <w:jc w:val="center"/>
            </w:pPr>
            <w:r w:rsidRPr="00546282">
              <w:t>Arithmetic</w:t>
            </w:r>
          </w:p>
        </w:tc>
        <w:tc>
          <w:tcPr>
            <w:tcW w:w="1800" w:type="dxa"/>
            <w:gridSpan w:val="2"/>
            <w:tcBorders>
              <w:top w:val="nil"/>
            </w:tcBorders>
            <w:shd w:val="clear" w:color="auto" w:fill="auto"/>
            <w:noWrap/>
            <w:vAlign w:val="bottom"/>
          </w:tcPr>
          <w:p w:rsidR="009D53E8" w:rsidRPr="00546282" w:rsidRDefault="009D53E8" w:rsidP="00772C9C">
            <w:pPr>
              <w:jc w:val="center"/>
            </w:pPr>
            <w:r w:rsidRPr="00546282">
              <w:t>95% BCa CI</w:t>
            </w:r>
          </w:p>
        </w:tc>
        <w:tc>
          <w:tcPr>
            <w:tcW w:w="1260" w:type="dxa"/>
            <w:tcBorders>
              <w:top w:val="nil"/>
            </w:tcBorders>
            <w:vAlign w:val="bottom"/>
          </w:tcPr>
          <w:p w:rsidR="009D53E8" w:rsidRPr="00546282" w:rsidRDefault="009D53E8" w:rsidP="00772C9C">
            <w:pPr>
              <w:jc w:val="center"/>
            </w:pPr>
            <w:r w:rsidRPr="00546282">
              <w:t>Arithmetic</w:t>
            </w:r>
          </w:p>
        </w:tc>
        <w:tc>
          <w:tcPr>
            <w:tcW w:w="1889" w:type="dxa"/>
            <w:gridSpan w:val="2"/>
            <w:tcBorders>
              <w:top w:val="nil"/>
              <w:right w:val="nil"/>
            </w:tcBorders>
            <w:vAlign w:val="bottom"/>
          </w:tcPr>
          <w:p w:rsidR="009D53E8" w:rsidRPr="00546282" w:rsidRDefault="009D53E8" w:rsidP="00772C9C">
            <w:pPr>
              <w:jc w:val="center"/>
            </w:pPr>
            <w:r w:rsidRPr="00546282">
              <w:t>95% BCa CI</w:t>
            </w:r>
          </w:p>
        </w:tc>
      </w:tr>
      <w:tr w:rsidR="009D53E8" w:rsidRPr="00546282" w:rsidTr="00106E6B">
        <w:trPr>
          <w:trHeight w:val="298"/>
        </w:trPr>
        <w:tc>
          <w:tcPr>
            <w:tcW w:w="2898" w:type="dxa"/>
            <w:tcBorders>
              <w:top w:val="nil"/>
              <w:left w:val="nil"/>
              <w:bottom w:val="single" w:sz="4" w:space="0" w:color="auto"/>
            </w:tcBorders>
            <w:shd w:val="clear" w:color="auto" w:fill="auto"/>
            <w:noWrap/>
            <w:vAlign w:val="bottom"/>
            <w:hideMark/>
          </w:tcPr>
          <w:p w:rsidR="009D53E8" w:rsidRPr="00546282" w:rsidRDefault="009D53E8" w:rsidP="00772C9C">
            <w:r w:rsidRPr="00546282">
              <w:t> </w:t>
            </w:r>
          </w:p>
        </w:tc>
        <w:tc>
          <w:tcPr>
            <w:tcW w:w="1530" w:type="dxa"/>
            <w:tcBorders>
              <w:top w:val="nil"/>
              <w:bottom w:val="single" w:sz="4" w:space="0" w:color="auto"/>
            </w:tcBorders>
            <w:shd w:val="clear" w:color="auto" w:fill="auto"/>
            <w:noWrap/>
            <w:vAlign w:val="bottom"/>
          </w:tcPr>
          <w:p w:rsidR="009D53E8" w:rsidRPr="00546282" w:rsidRDefault="009D53E8" w:rsidP="00772C9C">
            <w:pPr>
              <w:jc w:val="center"/>
            </w:pPr>
            <w:r w:rsidRPr="00546282">
              <w:t>Statistic</w:t>
            </w:r>
          </w:p>
        </w:tc>
        <w:tc>
          <w:tcPr>
            <w:tcW w:w="900" w:type="dxa"/>
            <w:tcBorders>
              <w:top w:val="nil"/>
              <w:bottom w:val="single" w:sz="4" w:space="0" w:color="auto"/>
            </w:tcBorders>
            <w:shd w:val="clear" w:color="auto" w:fill="auto"/>
            <w:noWrap/>
            <w:vAlign w:val="bottom"/>
          </w:tcPr>
          <w:p w:rsidR="009D53E8" w:rsidRPr="00546282" w:rsidRDefault="009D53E8" w:rsidP="00772C9C">
            <w:pPr>
              <w:jc w:val="right"/>
            </w:pPr>
            <w:r w:rsidRPr="00546282">
              <w:t>LCI</w:t>
            </w:r>
          </w:p>
        </w:tc>
        <w:tc>
          <w:tcPr>
            <w:tcW w:w="900" w:type="dxa"/>
            <w:tcBorders>
              <w:top w:val="nil"/>
              <w:bottom w:val="single" w:sz="4" w:space="0" w:color="auto"/>
            </w:tcBorders>
            <w:vAlign w:val="bottom"/>
          </w:tcPr>
          <w:p w:rsidR="009D53E8" w:rsidRPr="00546282" w:rsidRDefault="009D53E8" w:rsidP="00772C9C">
            <w:r w:rsidRPr="00546282">
              <w:t>UCI</w:t>
            </w:r>
          </w:p>
        </w:tc>
        <w:tc>
          <w:tcPr>
            <w:tcW w:w="1260" w:type="dxa"/>
            <w:tcBorders>
              <w:top w:val="nil"/>
              <w:bottom w:val="single" w:sz="4" w:space="0" w:color="auto"/>
            </w:tcBorders>
            <w:vAlign w:val="bottom"/>
          </w:tcPr>
          <w:p w:rsidR="009D53E8" w:rsidRPr="00546282" w:rsidRDefault="009D53E8" w:rsidP="00772C9C">
            <w:pPr>
              <w:jc w:val="center"/>
            </w:pPr>
            <w:r w:rsidRPr="00546282">
              <w:t>Statistic</w:t>
            </w:r>
          </w:p>
        </w:tc>
        <w:tc>
          <w:tcPr>
            <w:tcW w:w="972" w:type="dxa"/>
            <w:tcBorders>
              <w:top w:val="nil"/>
              <w:bottom w:val="single" w:sz="4" w:space="0" w:color="auto"/>
            </w:tcBorders>
            <w:vAlign w:val="bottom"/>
          </w:tcPr>
          <w:p w:rsidR="009D53E8" w:rsidRPr="00546282" w:rsidRDefault="009D53E8" w:rsidP="00772C9C">
            <w:pPr>
              <w:jc w:val="right"/>
            </w:pPr>
            <w:r w:rsidRPr="00546282">
              <w:t>LCI</w:t>
            </w:r>
          </w:p>
        </w:tc>
        <w:tc>
          <w:tcPr>
            <w:tcW w:w="917" w:type="dxa"/>
            <w:tcBorders>
              <w:top w:val="nil"/>
              <w:bottom w:val="single" w:sz="4" w:space="0" w:color="auto"/>
              <w:right w:val="nil"/>
            </w:tcBorders>
            <w:vAlign w:val="bottom"/>
          </w:tcPr>
          <w:p w:rsidR="009D53E8" w:rsidRPr="00546282" w:rsidRDefault="009D53E8" w:rsidP="00772C9C">
            <w:r w:rsidRPr="00546282">
              <w:t>UCI</w:t>
            </w:r>
          </w:p>
        </w:tc>
      </w:tr>
      <w:tr w:rsidR="0055479F" w:rsidRPr="00E3359B" w:rsidTr="00106E6B">
        <w:trPr>
          <w:trHeight w:val="298"/>
        </w:trPr>
        <w:tc>
          <w:tcPr>
            <w:tcW w:w="2898" w:type="dxa"/>
            <w:tcBorders>
              <w:left w:val="nil"/>
              <w:bottom w:val="nil"/>
            </w:tcBorders>
            <w:shd w:val="clear" w:color="auto" w:fill="auto"/>
            <w:noWrap/>
            <w:vAlign w:val="bottom"/>
          </w:tcPr>
          <w:p w:rsidR="0055479F" w:rsidRPr="00A836C2" w:rsidRDefault="0055479F" w:rsidP="00772C9C">
            <w:pPr>
              <w:rPr>
                <w:b/>
              </w:rPr>
            </w:pPr>
            <w:r>
              <w:rPr>
                <w:b/>
              </w:rPr>
              <w:t>Published</w:t>
            </w:r>
            <w:r w:rsidRPr="00A836C2">
              <w:rPr>
                <w:b/>
              </w:rPr>
              <w:t xml:space="preserve"> Methods</w:t>
            </w:r>
          </w:p>
        </w:tc>
        <w:tc>
          <w:tcPr>
            <w:tcW w:w="1530" w:type="dxa"/>
            <w:tcBorders>
              <w:bottom w:val="nil"/>
            </w:tcBorders>
            <w:shd w:val="clear" w:color="auto" w:fill="auto"/>
            <w:noWrap/>
            <w:vAlign w:val="bottom"/>
          </w:tcPr>
          <w:p w:rsidR="0055479F" w:rsidRPr="00E3359B" w:rsidRDefault="0055479F" w:rsidP="00772C9C">
            <w:pPr>
              <w:jc w:val="right"/>
            </w:pPr>
          </w:p>
        </w:tc>
        <w:tc>
          <w:tcPr>
            <w:tcW w:w="900" w:type="dxa"/>
            <w:tcBorders>
              <w:bottom w:val="nil"/>
            </w:tcBorders>
            <w:shd w:val="clear" w:color="auto" w:fill="auto"/>
            <w:noWrap/>
            <w:vAlign w:val="bottom"/>
          </w:tcPr>
          <w:p w:rsidR="0055479F" w:rsidRPr="00E3359B" w:rsidRDefault="0055479F" w:rsidP="00772C9C">
            <w:pPr>
              <w:jc w:val="right"/>
            </w:pPr>
          </w:p>
        </w:tc>
        <w:tc>
          <w:tcPr>
            <w:tcW w:w="900" w:type="dxa"/>
            <w:tcBorders>
              <w:bottom w:val="nil"/>
            </w:tcBorders>
            <w:vAlign w:val="bottom"/>
          </w:tcPr>
          <w:p w:rsidR="0055479F" w:rsidRPr="00E3359B" w:rsidRDefault="0055479F" w:rsidP="00772C9C">
            <w:pPr>
              <w:jc w:val="right"/>
            </w:pPr>
          </w:p>
        </w:tc>
        <w:tc>
          <w:tcPr>
            <w:tcW w:w="1260" w:type="dxa"/>
            <w:tcBorders>
              <w:bottom w:val="nil"/>
            </w:tcBorders>
            <w:vAlign w:val="bottom"/>
          </w:tcPr>
          <w:p w:rsidR="0055479F" w:rsidRPr="00E3359B" w:rsidRDefault="0055479F" w:rsidP="00772C9C">
            <w:pPr>
              <w:jc w:val="right"/>
            </w:pPr>
          </w:p>
        </w:tc>
        <w:tc>
          <w:tcPr>
            <w:tcW w:w="972" w:type="dxa"/>
            <w:tcBorders>
              <w:bottom w:val="nil"/>
            </w:tcBorders>
            <w:vAlign w:val="bottom"/>
          </w:tcPr>
          <w:p w:rsidR="0055479F" w:rsidRPr="00E3359B" w:rsidRDefault="0055479F" w:rsidP="00772C9C">
            <w:pPr>
              <w:jc w:val="right"/>
            </w:pPr>
          </w:p>
        </w:tc>
        <w:tc>
          <w:tcPr>
            <w:tcW w:w="917" w:type="dxa"/>
            <w:tcBorders>
              <w:bottom w:val="nil"/>
              <w:right w:val="nil"/>
            </w:tcBorders>
            <w:vAlign w:val="bottom"/>
          </w:tcPr>
          <w:p w:rsidR="0055479F" w:rsidRPr="00E3359B" w:rsidRDefault="0055479F" w:rsidP="00772C9C">
            <w:pPr>
              <w:jc w:val="right"/>
            </w:pPr>
          </w:p>
        </w:tc>
      </w:tr>
      <w:tr w:rsidR="00616877" w:rsidRPr="00E3359B" w:rsidTr="00106E6B">
        <w:trPr>
          <w:trHeight w:val="298"/>
        </w:trPr>
        <w:tc>
          <w:tcPr>
            <w:tcW w:w="2898" w:type="dxa"/>
            <w:tcBorders>
              <w:left w:val="nil"/>
              <w:bottom w:val="nil"/>
            </w:tcBorders>
            <w:shd w:val="clear" w:color="auto" w:fill="auto"/>
            <w:noWrap/>
            <w:vAlign w:val="bottom"/>
          </w:tcPr>
          <w:p w:rsidR="00616877" w:rsidRDefault="00616877" w:rsidP="00772C9C">
            <w:pPr>
              <w:ind w:left="159"/>
            </w:pPr>
            <w:r>
              <w:lastRenderedPageBreak/>
              <w:t xml:space="preserve">Original P-Curve </w:t>
            </w:r>
          </w:p>
        </w:tc>
        <w:tc>
          <w:tcPr>
            <w:tcW w:w="1530" w:type="dxa"/>
            <w:tcBorders>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100</w:t>
            </w:r>
          </w:p>
        </w:tc>
        <w:tc>
          <w:tcPr>
            <w:tcW w:w="900" w:type="dxa"/>
            <w:tcBorders>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100</w:t>
            </w:r>
          </w:p>
        </w:tc>
        <w:tc>
          <w:tcPr>
            <w:tcW w:w="900" w:type="dxa"/>
            <w:tcBorders>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100</w:t>
            </w:r>
          </w:p>
        </w:tc>
        <w:tc>
          <w:tcPr>
            <w:tcW w:w="1260" w:type="dxa"/>
            <w:tcBorders>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100</w:t>
            </w:r>
          </w:p>
        </w:tc>
        <w:tc>
          <w:tcPr>
            <w:tcW w:w="972" w:type="dxa"/>
            <w:tcBorders>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100</w:t>
            </w:r>
          </w:p>
        </w:tc>
        <w:tc>
          <w:tcPr>
            <w:tcW w:w="917" w:type="dxa"/>
            <w:tcBorders>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100</w:t>
            </w:r>
          </w:p>
        </w:tc>
      </w:tr>
      <w:tr w:rsidR="00616877" w:rsidRPr="00E3359B" w:rsidTr="00106E6B">
        <w:trPr>
          <w:trHeight w:val="298"/>
        </w:trPr>
        <w:tc>
          <w:tcPr>
            <w:tcW w:w="2898" w:type="dxa"/>
            <w:tcBorders>
              <w:left w:val="nil"/>
              <w:bottom w:val="nil"/>
            </w:tcBorders>
            <w:shd w:val="clear" w:color="auto" w:fill="auto"/>
            <w:noWrap/>
            <w:vAlign w:val="bottom"/>
          </w:tcPr>
          <w:p w:rsidR="00616877" w:rsidRDefault="00616877" w:rsidP="00772C9C">
            <w:pPr>
              <w:ind w:left="159"/>
            </w:pPr>
            <w:r>
              <w:t xml:space="preserve">Ambitious P-Curve </w:t>
            </w:r>
          </w:p>
        </w:tc>
        <w:tc>
          <w:tcPr>
            <w:tcW w:w="1530" w:type="dxa"/>
            <w:tcBorders>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55.56</w:t>
            </w:r>
          </w:p>
        </w:tc>
        <w:tc>
          <w:tcPr>
            <w:tcW w:w="900" w:type="dxa"/>
            <w:tcBorders>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20</w:t>
            </w:r>
          </w:p>
        </w:tc>
        <w:tc>
          <w:tcPr>
            <w:tcW w:w="900" w:type="dxa"/>
            <w:tcBorders>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87.5</w:t>
            </w:r>
          </w:p>
        </w:tc>
        <w:tc>
          <w:tcPr>
            <w:tcW w:w="1260" w:type="dxa"/>
            <w:tcBorders>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60.00</w:t>
            </w:r>
          </w:p>
        </w:tc>
        <w:tc>
          <w:tcPr>
            <w:tcW w:w="972" w:type="dxa"/>
            <w:tcBorders>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0</w:t>
            </w:r>
          </w:p>
        </w:tc>
        <w:tc>
          <w:tcPr>
            <w:tcW w:w="917" w:type="dxa"/>
            <w:tcBorders>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100</w:t>
            </w: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Pr="00566142" w:rsidRDefault="00616877" w:rsidP="00772C9C">
            <w:pPr>
              <w:ind w:left="159"/>
            </w:pPr>
            <w:r w:rsidRPr="00566142">
              <w:t>N-Pact</w:t>
            </w:r>
            <w:r>
              <w:t xml:space="preserve"> (median sample size)</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118</w:t>
            </w:r>
          </w:p>
        </w:tc>
        <w:tc>
          <w:tcPr>
            <w:tcW w:w="900" w:type="dxa"/>
            <w:tcBorders>
              <w:top w:val="nil"/>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95</w:t>
            </w:r>
          </w:p>
        </w:tc>
        <w:tc>
          <w:tcPr>
            <w:tcW w:w="900" w:type="dxa"/>
            <w:tcBorders>
              <w:top w:val="nil"/>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141</w:t>
            </w: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100.50</w:t>
            </w:r>
          </w:p>
        </w:tc>
        <w:tc>
          <w:tcPr>
            <w:tcW w:w="972" w:type="dxa"/>
            <w:tcBorders>
              <w:top w:val="nil"/>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76</w:t>
            </w:r>
          </w:p>
        </w:tc>
        <w:tc>
          <w:tcPr>
            <w:tcW w:w="917" w:type="dxa"/>
            <w:tcBorders>
              <w:top w:val="nil"/>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118</w:t>
            </w:r>
          </w:p>
        </w:tc>
      </w:tr>
      <w:tr w:rsidR="00616877" w:rsidRPr="00E3359B" w:rsidTr="00106E6B">
        <w:trPr>
          <w:trHeight w:val="298"/>
        </w:trPr>
        <w:tc>
          <w:tcPr>
            <w:tcW w:w="2898" w:type="dxa"/>
            <w:tcBorders>
              <w:top w:val="nil"/>
              <w:left w:val="nil"/>
            </w:tcBorders>
            <w:shd w:val="clear" w:color="auto" w:fill="auto"/>
            <w:noWrap/>
            <w:vAlign w:val="bottom"/>
          </w:tcPr>
          <w:p w:rsidR="00616877" w:rsidRPr="00566142" w:rsidRDefault="00616877" w:rsidP="00772C9C">
            <w:pPr>
              <w:ind w:left="159"/>
            </w:pPr>
            <w:r>
              <w:t xml:space="preserve">A Priori Power (% .8 power at </w:t>
            </w:r>
            <w:r w:rsidRPr="00F510F9">
              <w:rPr>
                <w:i/>
              </w:rPr>
              <w:t>d</w:t>
            </w:r>
            <w:r>
              <w:t xml:space="preserve"> = .43)</w:t>
            </w:r>
          </w:p>
        </w:tc>
        <w:tc>
          <w:tcPr>
            <w:tcW w:w="1530" w:type="dxa"/>
            <w:tcBorders>
              <w:top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39.02</w:t>
            </w:r>
          </w:p>
        </w:tc>
        <w:tc>
          <w:tcPr>
            <w:tcW w:w="900" w:type="dxa"/>
            <w:tcBorders>
              <w:top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23.81</w:t>
            </w:r>
          </w:p>
        </w:tc>
        <w:tc>
          <w:tcPr>
            <w:tcW w:w="900" w:type="dxa"/>
            <w:tcBorders>
              <w:top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53.6</w:t>
            </w:r>
          </w:p>
        </w:tc>
        <w:tc>
          <w:tcPr>
            <w:tcW w:w="1260" w:type="dxa"/>
            <w:tcBorders>
              <w:top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34.62</w:t>
            </w:r>
          </w:p>
        </w:tc>
        <w:tc>
          <w:tcPr>
            <w:tcW w:w="972" w:type="dxa"/>
            <w:tcBorders>
              <w:top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17.36</w:t>
            </w:r>
          </w:p>
        </w:tc>
        <w:tc>
          <w:tcPr>
            <w:tcW w:w="917" w:type="dxa"/>
            <w:tcBorders>
              <w:top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55</w:t>
            </w: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Pr="00566142" w:rsidRDefault="00616877" w:rsidP="00772C9C">
            <w:pPr>
              <w:ind w:left="159"/>
            </w:pPr>
            <w:r w:rsidRPr="00566142">
              <w:t>Observed</w:t>
            </w:r>
            <w:r>
              <w:t xml:space="preserve"> (Post-hoc)</w:t>
            </w:r>
            <w:r w:rsidRPr="00566142">
              <w:t xml:space="preserve"> Power (median)</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0.81</w:t>
            </w:r>
          </w:p>
        </w:tc>
        <w:tc>
          <w:tcPr>
            <w:tcW w:w="900" w:type="dxa"/>
            <w:tcBorders>
              <w:top w:val="nil"/>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0.63</w:t>
            </w:r>
          </w:p>
        </w:tc>
        <w:tc>
          <w:tcPr>
            <w:tcW w:w="900" w:type="dxa"/>
            <w:tcBorders>
              <w:top w:val="nil"/>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0.93</w:t>
            </w: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0.96</w:t>
            </w:r>
          </w:p>
        </w:tc>
        <w:tc>
          <w:tcPr>
            <w:tcW w:w="972" w:type="dxa"/>
            <w:tcBorders>
              <w:top w:val="nil"/>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0.7</w:t>
            </w:r>
            <w:r>
              <w:rPr>
                <w:rFonts w:cs="Times New Roman"/>
                <w:color w:val="000000"/>
                <w:sz w:val="22"/>
              </w:rPr>
              <w:t>0</w:t>
            </w:r>
          </w:p>
        </w:tc>
        <w:tc>
          <w:tcPr>
            <w:tcW w:w="917" w:type="dxa"/>
            <w:tcBorders>
              <w:top w:val="nil"/>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0.99</w:t>
            </w: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Pr="00B35A77" w:rsidRDefault="00616877" w:rsidP="00772C9C">
            <w:pPr>
              <w:rPr>
                <w:b/>
                <w:color w:val="FF0000"/>
              </w:rPr>
            </w:pPr>
            <w:r w:rsidRPr="004A68D8">
              <w:rPr>
                <w:b/>
              </w:rPr>
              <w:t>Unpublished Methods</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p>
        </w:tc>
        <w:tc>
          <w:tcPr>
            <w:tcW w:w="900" w:type="dxa"/>
            <w:tcBorders>
              <w:top w:val="nil"/>
              <w:bottom w:val="nil"/>
            </w:tcBorders>
            <w:shd w:val="clear" w:color="auto" w:fill="auto"/>
            <w:noWrap/>
            <w:vAlign w:val="bottom"/>
          </w:tcPr>
          <w:p w:rsidR="00616877" w:rsidRPr="00616877" w:rsidRDefault="00616877" w:rsidP="00772C9C">
            <w:pPr>
              <w:rPr>
                <w:rFonts w:cs="Times New Roman"/>
                <w:sz w:val="22"/>
              </w:rPr>
            </w:pPr>
          </w:p>
        </w:tc>
        <w:tc>
          <w:tcPr>
            <w:tcW w:w="900" w:type="dxa"/>
            <w:tcBorders>
              <w:top w:val="nil"/>
              <w:bottom w:val="nil"/>
            </w:tcBorders>
            <w:vAlign w:val="bottom"/>
          </w:tcPr>
          <w:p w:rsidR="00616877" w:rsidRPr="00616877" w:rsidRDefault="00616877" w:rsidP="00772C9C">
            <w:pPr>
              <w:rPr>
                <w:rFonts w:cs="Times New Roman"/>
                <w:sz w:val="22"/>
              </w:rPr>
            </w:pP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p>
        </w:tc>
        <w:tc>
          <w:tcPr>
            <w:tcW w:w="972" w:type="dxa"/>
            <w:tcBorders>
              <w:top w:val="nil"/>
              <w:bottom w:val="nil"/>
            </w:tcBorders>
            <w:vAlign w:val="bottom"/>
          </w:tcPr>
          <w:p w:rsidR="00616877" w:rsidRPr="00616877" w:rsidRDefault="00616877" w:rsidP="00772C9C">
            <w:pPr>
              <w:rPr>
                <w:rFonts w:cs="Times New Roman"/>
                <w:sz w:val="22"/>
              </w:rPr>
            </w:pPr>
          </w:p>
        </w:tc>
        <w:tc>
          <w:tcPr>
            <w:tcW w:w="917" w:type="dxa"/>
            <w:tcBorders>
              <w:top w:val="nil"/>
              <w:bottom w:val="nil"/>
              <w:right w:val="nil"/>
            </w:tcBorders>
            <w:vAlign w:val="bottom"/>
          </w:tcPr>
          <w:p w:rsidR="00616877" w:rsidRPr="00616877" w:rsidRDefault="00616877" w:rsidP="00772C9C">
            <w:pPr>
              <w:rPr>
                <w:rFonts w:cs="Times New Roman"/>
                <w:sz w:val="22"/>
              </w:rPr>
            </w:pP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Default="00616877" w:rsidP="00772C9C">
            <w:pPr>
              <w:ind w:left="159"/>
            </w:pPr>
            <w:r w:rsidRPr="00566142">
              <w:t>TIVA</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196.56</w:t>
            </w:r>
          </w:p>
        </w:tc>
        <w:tc>
          <w:tcPr>
            <w:tcW w:w="900" w:type="dxa"/>
            <w:tcBorders>
              <w:top w:val="nil"/>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106.44</w:t>
            </w:r>
          </w:p>
        </w:tc>
        <w:tc>
          <w:tcPr>
            <w:tcW w:w="900" w:type="dxa"/>
            <w:tcBorders>
              <w:top w:val="nil"/>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335.95</w:t>
            </w: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336.92</w:t>
            </w:r>
          </w:p>
        </w:tc>
        <w:tc>
          <w:tcPr>
            <w:tcW w:w="972" w:type="dxa"/>
            <w:tcBorders>
              <w:top w:val="nil"/>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203.76</w:t>
            </w:r>
          </w:p>
        </w:tc>
        <w:tc>
          <w:tcPr>
            <w:tcW w:w="917" w:type="dxa"/>
            <w:tcBorders>
              <w:top w:val="nil"/>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437.53</w:t>
            </w: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Default="00616877" w:rsidP="00772C9C">
            <w:pPr>
              <w:ind w:left="159"/>
            </w:pPr>
            <w:r w:rsidRPr="00566142">
              <w:t>Z-Curve (median)</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2.57</w:t>
            </w:r>
          </w:p>
        </w:tc>
        <w:tc>
          <w:tcPr>
            <w:tcW w:w="900" w:type="dxa"/>
            <w:tcBorders>
              <w:top w:val="nil"/>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2.25</w:t>
            </w:r>
          </w:p>
        </w:tc>
        <w:tc>
          <w:tcPr>
            <w:tcW w:w="900" w:type="dxa"/>
            <w:tcBorders>
              <w:top w:val="nil"/>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3.04</w:t>
            </w: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2.87</w:t>
            </w:r>
          </w:p>
        </w:tc>
        <w:tc>
          <w:tcPr>
            <w:tcW w:w="972" w:type="dxa"/>
            <w:tcBorders>
              <w:top w:val="nil"/>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2.21</w:t>
            </w:r>
          </w:p>
        </w:tc>
        <w:tc>
          <w:tcPr>
            <w:tcW w:w="917" w:type="dxa"/>
            <w:tcBorders>
              <w:top w:val="nil"/>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4.3</w:t>
            </w:r>
            <w:r>
              <w:rPr>
                <w:rFonts w:cs="Times New Roman"/>
                <w:color w:val="000000"/>
                <w:sz w:val="22"/>
              </w:rPr>
              <w:t>0</w:t>
            </w:r>
          </w:p>
        </w:tc>
      </w:tr>
      <w:tr w:rsidR="00616877" w:rsidRPr="00E3359B" w:rsidTr="00106E6B">
        <w:trPr>
          <w:trHeight w:val="298"/>
        </w:trPr>
        <w:tc>
          <w:tcPr>
            <w:tcW w:w="2898" w:type="dxa"/>
            <w:tcBorders>
              <w:top w:val="nil"/>
              <w:left w:val="nil"/>
              <w:bottom w:val="single" w:sz="4" w:space="0" w:color="auto"/>
            </w:tcBorders>
            <w:shd w:val="clear" w:color="auto" w:fill="auto"/>
            <w:noWrap/>
            <w:vAlign w:val="bottom"/>
          </w:tcPr>
          <w:p w:rsidR="00616877" w:rsidRDefault="00616877" w:rsidP="00772C9C">
            <w:pPr>
              <w:ind w:left="159"/>
            </w:pPr>
            <w:r w:rsidRPr="00566142">
              <w:t>R-Index</w:t>
            </w:r>
            <w:r>
              <w:t xml:space="preserve"> </w:t>
            </w:r>
          </w:p>
        </w:tc>
        <w:tc>
          <w:tcPr>
            <w:tcW w:w="1530" w:type="dxa"/>
            <w:tcBorders>
              <w:top w:val="nil"/>
              <w:bottom w:val="single" w:sz="4" w:space="0" w:color="auto"/>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0.65</w:t>
            </w:r>
          </w:p>
        </w:tc>
        <w:tc>
          <w:tcPr>
            <w:tcW w:w="900" w:type="dxa"/>
            <w:tcBorders>
              <w:top w:val="nil"/>
              <w:bottom w:val="single" w:sz="4" w:space="0" w:color="auto"/>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0.49</w:t>
            </w:r>
          </w:p>
        </w:tc>
        <w:tc>
          <w:tcPr>
            <w:tcW w:w="900" w:type="dxa"/>
            <w:tcBorders>
              <w:top w:val="nil"/>
              <w:bottom w:val="single" w:sz="4" w:space="0" w:color="auto"/>
            </w:tcBorders>
            <w:vAlign w:val="bottom"/>
          </w:tcPr>
          <w:p w:rsidR="00616877" w:rsidRPr="00616877" w:rsidRDefault="00616877" w:rsidP="00772C9C">
            <w:pPr>
              <w:rPr>
                <w:rFonts w:cs="Times New Roman"/>
                <w:color w:val="000000"/>
                <w:sz w:val="22"/>
              </w:rPr>
            </w:pPr>
            <w:r w:rsidRPr="00616877">
              <w:rPr>
                <w:rFonts w:cs="Times New Roman"/>
                <w:color w:val="000000"/>
                <w:sz w:val="22"/>
              </w:rPr>
              <w:t>0.93</w:t>
            </w:r>
          </w:p>
        </w:tc>
        <w:tc>
          <w:tcPr>
            <w:tcW w:w="1260" w:type="dxa"/>
            <w:tcBorders>
              <w:top w:val="nil"/>
              <w:bottom w:val="single" w:sz="4" w:space="0" w:color="auto"/>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0.64</w:t>
            </w:r>
          </w:p>
        </w:tc>
        <w:tc>
          <w:tcPr>
            <w:tcW w:w="972" w:type="dxa"/>
            <w:tcBorders>
              <w:top w:val="nil"/>
              <w:bottom w:val="single" w:sz="4" w:space="0" w:color="auto"/>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0.20</w:t>
            </w:r>
          </w:p>
        </w:tc>
        <w:tc>
          <w:tcPr>
            <w:tcW w:w="917" w:type="dxa"/>
            <w:tcBorders>
              <w:top w:val="nil"/>
              <w:bottom w:val="single" w:sz="4" w:space="0" w:color="auto"/>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0.98</w:t>
            </w:r>
          </w:p>
        </w:tc>
      </w:tr>
    </w:tbl>
    <w:p w:rsidR="009D53E8" w:rsidRPr="00E3359B" w:rsidRDefault="009D53E8" w:rsidP="00772C9C">
      <w:pPr>
        <w:rPr>
          <w:i/>
        </w:rPr>
      </w:pPr>
      <w:r w:rsidRPr="00E3359B">
        <w:t>Note: *</w:t>
      </w:r>
      <w:r w:rsidRPr="00E3359B">
        <w:rPr>
          <w:i/>
        </w:rPr>
        <w:t xml:space="preserve">Bold values indicate where the 95% BCa CIs do not overlap.  </w:t>
      </w:r>
    </w:p>
    <w:p w:rsidR="009D53E8" w:rsidRPr="00E3359B" w:rsidRDefault="009D53E8" w:rsidP="00772C9C"/>
    <w:p w:rsidR="009D53E8" w:rsidRPr="00E3359B" w:rsidRDefault="00616877" w:rsidP="00772C9C">
      <w:r w:rsidRPr="00E3359B">
        <w:t xml:space="preserve">Table </w:t>
      </w:r>
      <w:r w:rsidR="006C3EF8">
        <w:t>S4</w:t>
      </w:r>
      <w:r>
        <w:t>.</w:t>
      </w:r>
    </w:p>
    <w:p w:rsidR="009D53E8" w:rsidRPr="00E3359B" w:rsidRDefault="009D53E8" w:rsidP="00772C9C">
      <w:pPr>
        <w:rPr>
          <w:i/>
        </w:rPr>
      </w:pPr>
      <w:r w:rsidRPr="00E3359B">
        <w:rPr>
          <w:i/>
        </w:rPr>
        <w:t>Summary statistics for citation rate groupings for 2013-2014 with 95% BCa CIs</w:t>
      </w:r>
      <w:r w:rsidR="006C3EF8">
        <w:rPr>
          <w:i/>
        </w:rPr>
        <w:t>.</w:t>
      </w:r>
      <w:r w:rsidRPr="00E3359B">
        <w:rPr>
          <w:i/>
        </w:rPr>
        <w:t xml:space="preserve">   </w:t>
      </w:r>
    </w:p>
    <w:p w:rsidR="009D53E8" w:rsidRDefault="009D53E8" w:rsidP="00772C9C"/>
    <w:tbl>
      <w:tblPr>
        <w:tblW w:w="9377" w:type="dxa"/>
        <w:tblLayout w:type="fixed"/>
        <w:tblLook w:val="04A0" w:firstRow="1" w:lastRow="0" w:firstColumn="1" w:lastColumn="0" w:noHBand="0" w:noVBand="1"/>
      </w:tblPr>
      <w:tblGrid>
        <w:gridCol w:w="2898"/>
        <w:gridCol w:w="1530"/>
        <w:gridCol w:w="900"/>
        <w:gridCol w:w="900"/>
        <w:gridCol w:w="1260"/>
        <w:gridCol w:w="972"/>
        <w:gridCol w:w="917"/>
      </w:tblGrid>
      <w:tr w:rsidR="00616877" w:rsidRPr="00546282" w:rsidTr="00106E6B">
        <w:trPr>
          <w:trHeight w:val="298"/>
        </w:trPr>
        <w:tc>
          <w:tcPr>
            <w:tcW w:w="2898" w:type="dxa"/>
            <w:tcBorders>
              <w:top w:val="nil"/>
              <w:left w:val="nil"/>
            </w:tcBorders>
            <w:shd w:val="clear" w:color="auto" w:fill="auto"/>
            <w:noWrap/>
            <w:vAlign w:val="bottom"/>
          </w:tcPr>
          <w:p w:rsidR="00616877" w:rsidRPr="00546282" w:rsidRDefault="00616877" w:rsidP="00772C9C"/>
        </w:tc>
        <w:tc>
          <w:tcPr>
            <w:tcW w:w="6479" w:type="dxa"/>
            <w:gridSpan w:val="6"/>
            <w:tcBorders>
              <w:top w:val="nil"/>
            </w:tcBorders>
            <w:shd w:val="clear" w:color="auto" w:fill="auto"/>
            <w:noWrap/>
            <w:vAlign w:val="bottom"/>
          </w:tcPr>
          <w:p w:rsidR="00616877" w:rsidRPr="00546282" w:rsidRDefault="006C3EF8" w:rsidP="00772C9C">
            <w:pPr>
              <w:jc w:val="center"/>
              <w:rPr>
                <w:b/>
              </w:rPr>
            </w:pPr>
            <w:r>
              <w:rPr>
                <w:b/>
              </w:rPr>
              <w:t>2013-201</w:t>
            </w:r>
            <w:r w:rsidR="00616877" w:rsidRPr="00546282">
              <w:rPr>
                <w:b/>
              </w:rPr>
              <w:t>4</w:t>
            </w:r>
          </w:p>
        </w:tc>
      </w:tr>
      <w:tr w:rsidR="00616877" w:rsidRPr="00546282" w:rsidTr="00106E6B">
        <w:trPr>
          <w:trHeight w:val="298"/>
        </w:trPr>
        <w:tc>
          <w:tcPr>
            <w:tcW w:w="2898" w:type="dxa"/>
            <w:tcBorders>
              <w:top w:val="nil"/>
              <w:left w:val="nil"/>
            </w:tcBorders>
            <w:shd w:val="clear" w:color="auto" w:fill="auto"/>
            <w:noWrap/>
            <w:vAlign w:val="bottom"/>
          </w:tcPr>
          <w:p w:rsidR="00616877" w:rsidRPr="00EC7B53" w:rsidRDefault="00616877" w:rsidP="00772C9C">
            <w:pPr>
              <w:jc w:val="right"/>
              <w:rPr>
                <w:b/>
              </w:rPr>
            </w:pPr>
            <w:r w:rsidRPr="00EC7B53">
              <w:rPr>
                <w:b/>
              </w:rPr>
              <w:t>Citation Percentile</w:t>
            </w:r>
            <w:r>
              <w:rPr>
                <w:b/>
              </w:rPr>
              <w:t>:</w:t>
            </w:r>
          </w:p>
        </w:tc>
        <w:tc>
          <w:tcPr>
            <w:tcW w:w="3330" w:type="dxa"/>
            <w:gridSpan w:val="3"/>
            <w:tcBorders>
              <w:top w:val="nil"/>
            </w:tcBorders>
            <w:shd w:val="clear" w:color="auto" w:fill="auto"/>
            <w:noWrap/>
            <w:vAlign w:val="bottom"/>
          </w:tcPr>
          <w:p w:rsidR="00616877" w:rsidRPr="00546282" w:rsidRDefault="00616877" w:rsidP="00772C9C">
            <w:pPr>
              <w:jc w:val="center"/>
              <w:rPr>
                <w:b/>
              </w:rPr>
            </w:pPr>
            <w:r w:rsidRPr="00546282">
              <w:rPr>
                <w:b/>
              </w:rPr>
              <w:t>45-55</w:t>
            </w:r>
            <w:r w:rsidRPr="00546282">
              <w:rPr>
                <w:b/>
                <w:vertAlign w:val="superscript"/>
              </w:rPr>
              <w:t>th</w:t>
            </w:r>
            <w:r w:rsidRPr="00546282">
              <w:rPr>
                <w:b/>
              </w:rPr>
              <w:t xml:space="preserve"> Percentile</w:t>
            </w:r>
          </w:p>
        </w:tc>
        <w:tc>
          <w:tcPr>
            <w:tcW w:w="3149" w:type="dxa"/>
            <w:gridSpan w:val="3"/>
            <w:tcBorders>
              <w:top w:val="nil"/>
              <w:right w:val="nil"/>
            </w:tcBorders>
            <w:vAlign w:val="bottom"/>
          </w:tcPr>
          <w:p w:rsidR="00616877" w:rsidRPr="00546282" w:rsidRDefault="00616877" w:rsidP="00772C9C">
            <w:pPr>
              <w:jc w:val="center"/>
              <w:rPr>
                <w:b/>
              </w:rPr>
            </w:pPr>
            <w:r w:rsidRPr="00546282">
              <w:rPr>
                <w:b/>
              </w:rPr>
              <w:t>90+</w:t>
            </w:r>
            <w:r w:rsidRPr="00546282">
              <w:rPr>
                <w:b/>
                <w:vertAlign w:val="superscript"/>
              </w:rPr>
              <w:t xml:space="preserve">th </w:t>
            </w:r>
            <w:r w:rsidRPr="00546282">
              <w:rPr>
                <w:b/>
              </w:rPr>
              <w:t xml:space="preserve"> Percentile</w:t>
            </w:r>
          </w:p>
        </w:tc>
      </w:tr>
      <w:tr w:rsidR="00616877" w:rsidRPr="00546282" w:rsidTr="00106E6B">
        <w:trPr>
          <w:trHeight w:val="298"/>
        </w:trPr>
        <w:tc>
          <w:tcPr>
            <w:tcW w:w="2898" w:type="dxa"/>
            <w:tcBorders>
              <w:top w:val="nil"/>
              <w:left w:val="nil"/>
            </w:tcBorders>
            <w:shd w:val="clear" w:color="auto" w:fill="auto"/>
            <w:noWrap/>
            <w:vAlign w:val="bottom"/>
          </w:tcPr>
          <w:p w:rsidR="00616877" w:rsidRPr="00546282" w:rsidRDefault="00616877" w:rsidP="00772C9C"/>
        </w:tc>
        <w:tc>
          <w:tcPr>
            <w:tcW w:w="1530" w:type="dxa"/>
            <w:tcBorders>
              <w:top w:val="nil"/>
            </w:tcBorders>
            <w:shd w:val="clear" w:color="auto" w:fill="auto"/>
            <w:noWrap/>
            <w:vAlign w:val="bottom"/>
          </w:tcPr>
          <w:p w:rsidR="00616877" w:rsidRPr="00546282" w:rsidRDefault="00616877" w:rsidP="00772C9C">
            <w:pPr>
              <w:jc w:val="center"/>
            </w:pPr>
            <w:r w:rsidRPr="00546282">
              <w:t>Arithmetic</w:t>
            </w:r>
          </w:p>
        </w:tc>
        <w:tc>
          <w:tcPr>
            <w:tcW w:w="1800" w:type="dxa"/>
            <w:gridSpan w:val="2"/>
            <w:tcBorders>
              <w:top w:val="nil"/>
            </w:tcBorders>
            <w:shd w:val="clear" w:color="auto" w:fill="auto"/>
            <w:noWrap/>
            <w:vAlign w:val="bottom"/>
          </w:tcPr>
          <w:p w:rsidR="00616877" w:rsidRPr="00546282" w:rsidRDefault="00616877" w:rsidP="00772C9C">
            <w:pPr>
              <w:jc w:val="center"/>
            </w:pPr>
            <w:r w:rsidRPr="00546282">
              <w:t>95% BCa CI</w:t>
            </w:r>
          </w:p>
        </w:tc>
        <w:tc>
          <w:tcPr>
            <w:tcW w:w="1260" w:type="dxa"/>
            <w:tcBorders>
              <w:top w:val="nil"/>
            </w:tcBorders>
            <w:vAlign w:val="bottom"/>
          </w:tcPr>
          <w:p w:rsidR="00616877" w:rsidRPr="00546282" w:rsidRDefault="00616877" w:rsidP="00772C9C">
            <w:pPr>
              <w:jc w:val="center"/>
            </w:pPr>
            <w:r w:rsidRPr="00546282">
              <w:t>Arithmetic</w:t>
            </w:r>
          </w:p>
        </w:tc>
        <w:tc>
          <w:tcPr>
            <w:tcW w:w="1889" w:type="dxa"/>
            <w:gridSpan w:val="2"/>
            <w:tcBorders>
              <w:top w:val="nil"/>
              <w:right w:val="nil"/>
            </w:tcBorders>
            <w:vAlign w:val="bottom"/>
          </w:tcPr>
          <w:p w:rsidR="00616877" w:rsidRPr="00546282" w:rsidRDefault="00616877" w:rsidP="00772C9C">
            <w:pPr>
              <w:jc w:val="center"/>
            </w:pPr>
            <w:r w:rsidRPr="00546282">
              <w:t>95% BCa CI</w:t>
            </w:r>
          </w:p>
        </w:tc>
      </w:tr>
      <w:tr w:rsidR="00616877" w:rsidRPr="00546282" w:rsidTr="00106E6B">
        <w:trPr>
          <w:trHeight w:val="298"/>
        </w:trPr>
        <w:tc>
          <w:tcPr>
            <w:tcW w:w="2898" w:type="dxa"/>
            <w:tcBorders>
              <w:top w:val="nil"/>
              <w:left w:val="nil"/>
              <w:bottom w:val="single" w:sz="4" w:space="0" w:color="auto"/>
            </w:tcBorders>
            <w:shd w:val="clear" w:color="auto" w:fill="auto"/>
            <w:noWrap/>
            <w:vAlign w:val="bottom"/>
            <w:hideMark/>
          </w:tcPr>
          <w:p w:rsidR="00616877" w:rsidRPr="00546282" w:rsidRDefault="00616877" w:rsidP="00772C9C">
            <w:r w:rsidRPr="00546282">
              <w:t> </w:t>
            </w:r>
          </w:p>
        </w:tc>
        <w:tc>
          <w:tcPr>
            <w:tcW w:w="1530" w:type="dxa"/>
            <w:tcBorders>
              <w:top w:val="nil"/>
              <w:bottom w:val="single" w:sz="4" w:space="0" w:color="auto"/>
            </w:tcBorders>
            <w:shd w:val="clear" w:color="auto" w:fill="auto"/>
            <w:noWrap/>
            <w:vAlign w:val="bottom"/>
          </w:tcPr>
          <w:p w:rsidR="00616877" w:rsidRPr="00546282" w:rsidRDefault="00616877" w:rsidP="00772C9C">
            <w:pPr>
              <w:jc w:val="center"/>
            </w:pPr>
            <w:r w:rsidRPr="00546282">
              <w:t>Statistic</w:t>
            </w:r>
          </w:p>
        </w:tc>
        <w:tc>
          <w:tcPr>
            <w:tcW w:w="900" w:type="dxa"/>
            <w:tcBorders>
              <w:top w:val="nil"/>
              <w:bottom w:val="single" w:sz="4" w:space="0" w:color="auto"/>
            </w:tcBorders>
            <w:shd w:val="clear" w:color="auto" w:fill="auto"/>
            <w:noWrap/>
            <w:vAlign w:val="bottom"/>
          </w:tcPr>
          <w:p w:rsidR="00616877" w:rsidRPr="00546282" w:rsidRDefault="00616877" w:rsidP="00772C9C">
            <w:pPr>
              <w:jc w:val="right"/>
            </w:pPr>
            <w:r w:rsidRPr="00546282">
              <w:t>LCI</w:t>
            </w:r>
          </w:p>
        </w:tc>
        <w:tc>
          <w:tcPr>
            <w:tcW w:w="900" w:type="dxa"/>
            <w:tcBorders>
              <w:top w:val="nil"/>
              <w:bottom w:val="single" w:sz="4" w:space="0" w:color="auto"/>
            </w:tcBorders>
            <w:vAlign w:val="bottom"/>
          </w:tcPr>
          <w:p w:rsidR="00616877" w:rsidRPr="00546282" w:rsidRDefault="00616877" w:rsidP="00772C9C">
            <w:r w:rsidRPr="00546282">
              <w:t>UCI</w:t>
            </w:r>
          </w:p>
        </w:tc>
        <w:tc>
          <w:tcPr>
            <w:tcW w:w="1260" w:type="dxa"/>
            <w:tcBorders>
              <w:top w:val="nil"/>
              <w:bottom w:val="single" w:sz="4" w:space="0" w:color="auto"/>
            </w:tcBorders>
            <w:vAlign w:val="bottom"/>
          </w:tcPr>
          <w:p w:rsidR="00616877" w:rsidRPr="00546282" w:rsidRDefault="00616877" w:rsidP="00772C9C">
            <w:pPr>
              <w:jc w:val="center"/>
            </w:pPr>
            <w:r w:rsidRPr="00546282">
              <w:t>Statistic</w:t>
            </w:r>
          </w:p>
        </w:tc>
        <w:tc>
          <w:tcPr>
            <w:tcW w:w="972" w:type="dxa"/>
            <w:tcBorders>
              <w:top w:val="nil"/>
              <w:bottom w:val="single" w:sz="4" w:space="0" w:color="auto"/>
            </w:tcBorders>
            <w:vAlign w:val="bottom"/>
          </w:tcPr>
          <w:p w:rsidR="00616877" w:rsidRPr="00546282" w:rsidRDefault="00616877" w:rsidP="00772C9C">
            <w:pPr>
              <w:jc w:val="right"/>
            </w:pPr>
            <w:r w:rsidRPr="00546282">
              <w:t>LCI</w:t>
            </w:r>
          </w:p>
        </w:tc>
        <w:tc>
          <w:tcPr>
            <w:tcW w:w="917" w:type="dxa"/>
            <w:tcBorders>
              <w:top w:val="nil"/>
              <w:bottom w:val="single" w:sz="4" w:space="0" w:color="auto"/>
              <w:right w:val="nil"/>
            </w:tcBorders>
            <w:vAlign w:val="bottom"/>
          </w:tcPr>
          <w:p w:rsidR="00616877" w:rsidRPr="00546282" w:rsidRDefault="00616877" w:rsidP="00772C9C">
            <w:r w:rsidRPr="00546282">
              <w:t>UCI</w:t>
            </w:r>
          </w:p>
        </w:tc>
      </w:tr>
      <w:tr w:rsidR="00616877" w:rsidRPr="00E3359B" w:rsidTr="00106E6B">
        <w:trPr>
          <w:trHeight w:val="298"/>
        </w:trPr>
        <w:tc>
          <w:tcPr>
            <w:tcW w:w="2898" w:type="dxa"/>
            <w:tcBorders>
              <w:left w:val="nil"/>
              <w:bottom w:val="nil"/>
            </w:tcBorders>
            <w:shd w:val="clear" w:color="auto" w:fill="auto"/>
            <w:noWrap/>
            <w:vAlign w:val="bottom"/>
          </w:tcPr>
          <w:p w:rsidR="00616877" w:rsidRPr="00A836C2" w:rsidRDefault="00616877" w:rsidP="00772C9C">
            <w:pPr>
              <w:rPr>
                <w:b/>
              </w:rPr>
            </w:pPr>
            <w:r>
              <w:rPr>
                <w:b/>
              </w:rPr>
              <w:t>Published</w:t>
            </w:r>
            <w:r w:rsidRPr="00A836C2">
              <w:rPr>
                <w:b/>
              </w:rPr>
              <w:t xml:space="preserve"> Methods</w:t>
            </w:r>
          </w:p>
        </w:tc>
        <w:tc>
          <w:tcPr>
            <w:tcW w:w="1530" w:type="dxa"/>
            <w:tcBorders>
              <w:bottom w:val="nil"/>
            </w:tcBorders>
            <w:shd w:val="clear" w:color="auto" w:fill="auto"/>
            <w:noWrap/>
            <w:vAlign w:val="bottom"/>
          </w:tcPr>
          <w:p w:rsidR="00616877" w:rsidRPr="00E3359B" w:rsidRDefault="00616877" w:rsidP="00772C9C">
            <w:pPr>
              <w:jc w:val="right"/>
            </w:pPr>
          </w:p>
        </w:tc>
        <w:tc>
          <w:tcPr>
            <w:tcW w:w="900" w:type="dxa"/>
            <w:tcBorders>
              <w:bottom w:val="nil"/>
            </w:tcBorders>
            <w:shd w:val="clear" w:color="auto" w:fill="auto"/>
            <w:noWrap/>
            <w:vAlign w:val="bottom"/>
          </w:tcPr>
          <w:p w:rsidR="00616877" w:rsidRPr="00E3359B" w:rsidRDefault="00616877" w:rsidP="00772C9C">
            <w:pPr>
              <w:jc w:val="right"/>
            </w:pPr>
          </w:p>
        </w:tc>
        <w:tc>
          <w:tcPr>
            <w:tcW w:w="900" w:type="dxa"/>
            <w:tcBorders>
              <w:bottom w:val="nil"/>
            </w:tcBorders>
            <w:vAlign w:val="bottom"/>
          </w:tcPr>
          <w:p w:rsidR="00616877" w:rsidRPr="00E3359B" w:rsidRDefault="00616877" w:rsidP="00772C9C">
            <w:pPr>
              <w:jc w:val="right"/>
            </w:pPr>
          </w:p>
        </w:tc>
        <w:tc>
          <w:tcPr>
            <w:tcW w:w="1260" w:type="dxa"/>
            <w:tcBorders>
              <w:bottom w:val="nil"/>
            </w:tcBorders>
            <w:vAlign w:val="bottom"/>
          </w:tcPr>
          <w:p w:rsidR="00616877" w:rsidRPr="00E3359B" w:rsidRDefault="00616877" w:rsidP="00772C9C">
            <w:pPr>
              <w:jc w:val="right"/>
            </w:pPr>
          </w:p>
        </w:tc>
        <w:tc>
          <w:tcPr>
            <w:tcW w:w="972" w:type="dxa"/>
            <w:tcBorders>
              <w:bottom w:val="nil"/>
            </w:tcBorders>
            <w:vAlign w:val="bottom"/>
          </w:tcPr>
          <w:p w:rsidR="00616877" w:rsidRPr="00E3359B" w:rsidRDefault="00616877" w:rsidP="00772C9C">
            <w:pPr>
              <w:jc w:val="right"/>
            </w:pPr>
          </w:p>
        </w:tc>
        <w:tc>
          <w:tcPr>
            <w:tcW w:w="917" w:type="dxa"/>
            <w:tcBorders>
              <w:bottom w:val="nil"/>
              <w:right w:val="nil"/>
            </w:tcBorders>
            <w:vAlign w:val="bottom"/>
          </w:tcPr>
          <w:p w:rsidR="00616877" w:rsidRPr="00E3359B" w:rsidRDefault="00616877" w:rsidP="00772C9C">
            <w:pPr>
              <w:jc w:val="right"/>
            </w:pPr>
          </w:p>
        </w:tc>
      </w:tr>
      <w:tr w:rsidR="00616877" w:rsidRPr="00E3359B" w:rsidTr="00106E6B">
        <w:trPr>
          <w:trHeight w:val="298"/>
        </w:trPr>
        <w:tc>
          <w:tcPr>
            <w:tcW w:w="2898" w:type="dxa"/>
            <w:tcBorders>
              <w:left w:val="nil"/>
              <w:bottom w:val="nil"/>
            </w:tcBorders>
            <w:shd w:val="clear" w:color="auto" w:fill="auto"/>
            <w:noWrap/>
            <w:vAlign w:val="bottom"/>
          </w:tcPr>
          <w:p w:rsidR="00616877" w:rsidRDefault="00616877" w:rsidP="00772C9C">
            <w:pPr>
              <w:ind w:left="159"/>
            </w:pPr>
            <w:r>
              <w:t xml:space="preserve">Original P-Curve </w:t>
            </w:r>
          </w:p>
        </w:tc>
        <w:tc>
          <w:tcPr>
            <w:tcW w:w="1530" w:type="dxa"/>
            <w:tcBorders>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95</w:t>
            </w:r>
          </w:p>
        </w:tc>
        <w:tc>
          <w:tcPr>
            <w:tcW w:w="900" w:type="dxa"/>
            <w:tcBorders>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83.33</w:t>
            </w:r>
          </w:p>
        </w:tc>
        <w:tc>
          <w:tcPr>
            <w:tcW w:w="900" w:type="dxa"/>
            <w:tcBorders>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100</w:t>
            </w:r>
          </w:p>
        </w:tc>
        <w:tc>
          <w:tcPr>
            <w:tcW w:w="1260" w:type="dxa"/>
            <w:tcBorders>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100</w:t>
            </w:r>
          </w:p>
        </w:tc>
        <w:tc>
          <w:tcPr>
            <w:tcW w:w="972" w:type="dxa"/>
            <w:tcBorders>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100</w:t>
            </w:r>
          </w:p>
        </w:tc>
        <w:tc>
          <w:tcPr>
            <w:tcW w:w="917" w:type="dxa"/>
            <w:tcBorders>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100</w:t>
            </w:r>
          </w:p>
        </w:tc>
      </w:tr>
      <w:tr w:rsidR="00616877" w:rsidRPr="00E3359B" w:rsidTr="00106E6B">
        <w:trPr>
          <w:trHeight w:val="298"/>
        </w:trPr>
        <w:tc>
          <w:tcPr>
            <w:tcW w:w="2898" w:type="dxa"/>
            <w:tcBorders>
              <w:left w:val="nil"/>
              <w:bottom w:val="nil"/>
            </w:tcBorders>
            <w:shd w:val="clear" w:color="auto" w:fill="auto"/>
            <w:noWrap/>
            <w:vAlign w:val="bottom"/>
          </w:tcPr>
          <w:p w:rsidR="00616877" w:rsidRDefault="00616877" w:rsidP="00772C9C">
            <w:pPr>
              <w:ind w:left="159"/>
            </w:pPr>
            <w:r>
              <w:t xml:space="preserve">Ambitious P-Curve </w:t>
            </w:r>
          </w:p>
        </w:tc>
        <w:tc>
          <w:tcPr>
            <w:tcW w:w="1530" w:type="dxa"/>
            <w:tcBorders>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30.43</w:t>
            </w:r>
          </w:p>
        </w:tc>
        <w:tc>
          <w:tcPr>
            <w:tcW w:w="900" w:type="dxa"/>
            <w:tcBorders>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14.29</w:t>
            </w:r>
          </w:p>
        </w:tc>
        <w:tc>
          <w:tcPr>
            <w:tcW w:w="900" w:type="dxa"/>
            <w:tcBorders>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52.57</w:t>
            </w:r>
          </w:p>
        </w:tc>
        <w:tc>
          <w:tcPr>
            <w:tcW w:w="1260" w:type="dxa"/>
            <w:tcBorders>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66.67</w:t>
            </w:r>
          </w:p>
        </w:tc>
        <w:tc>
          <w:tcPr>
            <w:tcW w:w="972" w:type="dxa"/>
            <w:tcBorders>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20</w:t>
            </w:r>
          </w:p>
        </w:tc>
        <w:tc>
          <w:tcPr>
            <w:tcW w:w="917" w:type="dxa"/>
            <w:tcBorders>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90</w:t>
            </w: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Pr="00566142" w:rsidRDefault="00616877" w:rsidP="00772C9C">
            <w:pPr>
              <w:ind w:left="159"/>
            </w:pPr>
            <w:r w:rsidRPr="00566142">
              <w:t>N-Pact</w:t>
            </w:r>
            <w:r>
              <w:t xml:space="preserve"> (median sample size)</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94</w:t>
            </w:r>
          </w:p>
        </w:tc>
        <w:tc>
          <w:tcPr>
            <w:tcW w:w="900" w:type="dxa"/>
            <w:tcBorders>
              <w:top w:val="nil"/>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81</w:t>
            </w:r>
          </w:p>
        </w:tc>
        <w:tc>
          <w:tcPr>
            <w:tcW w:w="900" w:type="dxa"/>
            <w:tcBorders>
              <w:top w:val="nil"/>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104</w:t>
            </w: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115.5</w:t>
            </w:r>
          </w:p>
        </w:tc>
        <w:tc>
          <w:tcPr>
            <w:tcW w:w="972" w:type="dxa"/>
            <w:tcBorders>
              <w:top w:val="nil"/>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94.5</w:t>
            </w:r>
          </w:p>
        </w:tc>
        <w:tc>
          <w:tcPr>
            <w:tcW w:w="917" w:type="dxa"/>
            <w:tcBorders>
              <w:top w:val="nil"/>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163</w:t>
            </w:r>
          </w:p>
        </w:tc>
      </w:tr>
      <w:tr w:rsidR="00616877" w:rsidRPr="00E3359B" w:rsidTr="00106E6B">
        <w:trPr>
          <w:trHeight w:val="298"/>
        </w:trPr>
        <w:tc>
          <w:tcPr>
            <w:tcW w:w="2898" w:type="dxa"/>
            <w:tcBorders>
              <w:top w:val="nil"/>
              <w:left w:val="nil"/>
            </w:tcBorders>
            <w:shd w:val="clear" w:color="auto" w:fill="auto"/>
            <w:noWrap/>
            <w:vAlign w:val="bottom"/>
          </w:tcPr>
          <w:p w:rsidR="00616877" w:rsidRPr="00566142" w:rsidRDefault="00616877" w:rsidP="00772C9C">
            <w:pPr>
              <w:ind w:left="159"/>
            </w:pPr>
            <w:r>
              <w:t xml:space="preserve">A Priori Power (% .8 power at </w:t>
            </w:r>
            <w:r w:rsidRPr="00F510F9">
              <w:rPr>
                <w:i/>
              </w:rPr>
              <w:t>d</w:t>
            </w:r>
            <w:r>
              <w:t xml:space="preserve"> = .43)</w:t>
            </w:r>
          </w:p>
        </w:tc>
        <w:tc>
          <w:tcPr>
            <w:tcW w:w="1530" w:type="dxa"/>
            <w:tcBorders>
              <w:top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34.31</w:t>
            </w:r>
          </w:p>
        </w:tc>
        <w:tc>
          <w:tcPr>
            <w:tcW w:w="900" w:type="dxa"/>
            <w:tcBorders>
              <w:top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25.96</w:t>
            </w:r>
          </w:p>
        </w:tc>
        <w:tc>
          <w:tcPr>
            <w:tcW w:w="900" w:type="dxa"/>
            <w:tcBorders>
              <w:top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44.24</w:t>
            </w:r>
          </w:p>
        </w:tc>
        <w:tc>
          <w:tcPr>
            <w:tcW w:w="1260" w:type="dxa"/>
            <w:tcBorders>
              <w:top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42.37</w:t>
            </w:r>
          </w:p>
        </w:tc>
        <w:tc>
          <w:tcPr>
            <w:tcW w:w="972" w:type="dxa"/>
            <w:tcBorders>
              <w:top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29.64</w:t>
            </w:r>
          </w:p>
        </w:tc>
        <w:tc>
          <w:tcPr>
            <w:tcW w:w="917" w:type="dxa"/>
            <w:tcBorders>
              <w:top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55.56</w:t>
            </w: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Pr="00566142" w:rsidRDefault="00616877" w:rsidP="00772C9C">
            <w:pPr>
              <w:ind w:left="159"/>
            </w:pPr>
            <w:r w:rsidRPr="00566142">
              <w:t>Observed</w:t>
            </w:r>
            <w:r>
              <w:t xml:space="preserve"> (Post-hoc)</w:t>
            </w:r>
            <w:r w:rsidRPr="00566142">
              <w:t xml:space="preserve"> Power (median)</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0.84</w:t>
            </w:r>
          </w:p>
        </w:tc>
        <w:tc>
          <w:tcPr>
            <w:tcW w:w="900" w:type="dxa"/>
            <w:tcBorders>
              <w:top w:val="nil"/>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0.81</w:t>
            </w:r>
          </w:p>
        </w:tc>
        <w:tc>
          <w:tcPr>
            <w:tcW w:w="900" w:type="dxa"/>
            <w:tcBorders>
              <w:top w:val="nil"/>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0.87</w:t>
            </w: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0.85</w:t>
            </w:r>
          </w:p>
        </w:tc>
        <w:tc>
          <w:tcPr>
            <w:tcW w:w="972" w:type="dxa"/>
            <w:tcBorders>
              <w:top w:val="nil"/>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0.80</w:t>
            </w:r>
          </w:p>
        </w:tc>
        <w:tc>
          <w:tcPr>
            <w:tcW w:w="917" w:type="dxa"/>
            <w:tcBorders>
              <w:top w:val="nil"/>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0.93</w:t>
            </w: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Pr="00B35A77" w:rsidRDefault="00616877" w:rsidP="00772C9C">
            <w:pPr>
              <w:rPr>
                <w:b/>
                <w:color w:val="FF0000"/>
              </w:rPr>
            </w:pPr>
            <w:r w:rsidRPr="004A68D8">
              <w:rPr>
                <w:b/>
              </w:rPr>
              <w:t>Unpublished Methods</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p>
        </w:tc>
        <w:tc>
          <w:tcPr>
            <w:tcW w:w="900" w:type="dxa"/>
            <w:tcBorders>
              <w:top w:val="nil"/>
              <w:bottom w:val="nil"/>
            </w:tcBorders>
            <w:shd w:val="clear" w:color="auto" w:fill="auto"/>
            <w:noWrap/>
            <w:vAlign w:val="bottom"/>
          </w:tcPr>
          <w:p w:rsidR="00616877" w:rsidRPr="00616877" w:rsidRDefault="00616877" w:rsidP="00772C9C">
            <w:pPr>
              <w:rPr>
                <w:rFonts w:cs="Times New Roman"/>
                <w:sz w:val="22"/>
              </w:rPr>
            </w:pPr>
          </w:p>
        </w:tc>
        <w:tc>
          <w:tcPr>
            <w:tcW w:w="900" w:type="dxa"/>
            <w:tcBorders>
              <w:top w:val="nil"/>
              <w:bottom w:val="nil"/>
            </w:tcBorders>
            <w:vAlign w:val="bottom"/>
          </w:tcPr>
          <w:p w:rsidR="00616877" w:rsidRPr="00616877" w:rsidRDefault="00616877" w:rsidP="00772C9C">
            <w:pPr>
              <w:rPr>
                <w:rFonts w:cs="Times New Roman"/>
                <w:sz w:val="22"/>
              </w:rPr>
            </w:pP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p>
        </w:tc>
        <w:tc>
          <w:tcPr>
            <w:tcW w:w="972" w:type="dxa"/>
            <w:tcBorders>
              <w:top w:val="nil"/>
              <w:bottom w:val="nil"/>
            </w:tcBorders>
            <w:vAlign w:val="bottom"/>
          </w:tcPr>
          <w:p w:rsidR="00616877" w:rsidRPr="00616877" w:rsidRDefault="00616877" w:rsidP="00772C9C">
            <w:pPr>
              <w:rPr>
                <w:rFonts w:cs="Times New Roman"/>
                <w:sz w:val="22"/>
              </w:rPr>
            </w:pPr>
          </w:p>
        </w:tc>
        <w:tc>
          <w:tcPr>
            <w:tcW w:w="917" w:type="dxa"/>
            <w:tcBorders>
              <w:top w:val="nil"/>
              <w:bottom w:val="nil"/>
              <w:right w:val="nil"/>
            </w:tcBorders>
            <w:vAlign w:val="bottom"/>
          </w:tcPr>
          <w:p w:rsidR="00616877" w:rsidRPr="00616877" w:rsidRDefault="00616877" w:rsidP="00772C9C">
            <w:pPr>
              <w:rPr>
                <w:rFonts w:cs="Times New Roman"/>
                <w:sz w:val="22"/>
              </w:rPr>
            </w:pP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Default="00616877" w:rsidP="00772C9C">
            <w:pPr>
              <w:ind w:left="159"/>
            </w:pPr>
            <w:r w:rsidRPr="00566142">
              <w:t>TIVA</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311.07</w:t>
            </w:r>
          </w:p>
        </w:tc>
        <w:tc>
          <w:tcPr>
            <w:tcW w:w="900" w:type="dxa"/>
            <w:tcBorders>
              <w:top w:val="nil"/>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170.87</w:t>
            </w:r>
          </w:p>
        </w:tc>
        <w:tc>
          <w:tcPr>
            <w:tcW w:w="900" w:type="dxa"/>
            <w:tcBorders>
              <w:top w:val="nil"/>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516.11</w:t>
            </w: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360.58</w:t>
            </w:r>
          </w:p>
        </w:tc>
        <w:tc>
          <w:tcPr>
            <w:tcW w:w="972" w:type="dxa"/>
            <w:tcBorders>
              <w:top w:val="nil"/>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224.12</w:t>
            </w:r>
          </w:p>
        </w:tc>
        <w:tc>
          <w:tcPr>
            <w:tcW w:w="917" w:type="dxa"/>
            <w:tcBorders>
              <w:top w:val="nil"/>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514.76</w:t>
            </w:r>
          </w:p>
        </w:tc>
      </w:tr>
      <w:tr w:rsidR="00616877" w:rsidRPr="00E3359B" w:rsidTr="00106E6B">
        <w:trPr>
          <w:trHeight w:val="298"/>
        </w:trPr>
        <w:tc>
          <w:tcPr>
            <w:tcW w:w="2898" w:type="dxa"/>
            <w:tcBorders>
              <w:top w:val="nil"/>
              <w:left w:val="nil"/>
              <w:bottom w:val="nil"/>
            </w:tcBorders>
            <w:shd w:val="clear" w:color="auto" w:fill="auto"/>
            <w:noWrap/>
            <w:vAlign w:val="bottom"/>
          </w:tcPr>
          <w:p w:rsidR="00616877" w:rsidRDefault="00616877" w:rsidP="00772C9C">
            <w:pPr>
              <w:ind w:left="159"/>
            </w:pPr>
            <w:r w:rsidRPr="00566142">
              <w:t>Z-Curve (median)</w:t>
            </w:r>
          </w:p>
        </w:tc>
        <w:tc>
          <w:tcPr>
            <w:tcW w:w="1530" w:type="dxa"/>
            <w:tcBorders>
              <w:top w:val="nil"/>
              <w:bottom w:val="nil"/>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2.75</w:t>
            </w:r>
          </w:p>
        </w:tc>
        <w:tc>
          <w:tcPr>
            <w:tcW w:w="900" w:type="dxa"/>
            <w:tcBorders>
              <w:top w:val="nil"/>
              <w:bottom w:val="nil"/>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2.50</w:t>
            </w:r>
          </w:p>
        </w:tc>
        <w:tc>
          <w:tcPr>
            <w:tcW w:w="900" w:type="dxa"/>
            <w:tcBorders>
              <w:top w:val="nil"/>
              <w:bottom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2.88</w:t>
            </w:r>
          </w:p>
        </w:tc>
        <w:tc>
          <w:tcPr>
            <w:tcW w:w="1260" w:type="dxa"/>
            <w:tcBorders>
              <w:top w:val="nil"/>
              <w:bottom w:val="nil"/>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2.79</w:t>
            </w:r>
          </w:p>
        </w:tc>
        <w:tc>
          <w:tcPr>
            <w:tcW w:w="972" w:type="dxa"/>
            <w:tcBorders>
              <w:top w:val="nil"/>
              <w:bottom w:val="nil"/>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2.45</w:t>
            </w:r>
          </w:p>
        </w:tc>
        <w:tc>
          <w:tcPr>
            <w:tcW w:w="917" w:type="dxa"/>
            <w:tcBorders>
              <w:top w:val="nil"/>
              <w:bottom w:val="nil"/>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3.28</w:t>
            </w:r>
          </w:p>
        </w:tc>
      </w:tr>
      <w:tr w:rsidR="00616877" w:rsidRPr="00E3359B" w:rsidTr="00106E6B">
        <w:trPr>
          <w:trHeight w:val="298"/>
        </w:trPr>
        <w:tc>
          <w:tcPr>
            <w:tcW w:w="2898" w:type="dxa"/>
            <w:tcBorders>
              <w:top w:val="nil"/>
              <w:left w:val="nil"/>
              <w:bottom w:val="single" w:sz="4" w:space="0" w:color="auto"/>
            </w:tcBorders>
            <w:shd w:val="clear" w:color="auto" w:fill="auto"/>
            <w:noWrap/>
            <w:vAlign w:val="bottom"/>
          </w:tcPr>
          <w:p w:rsidR="00616877" w:rsidRDefault="00616877" w:rsidP="00772C9C">
            <w:pPr>
              <w:ind w:left="159"/>
            </w:pPr>
            <w:r w:rsidRPr="00566142">
              <w:t>R-Index</w:t>
            </w:r>
            <w:r>
              <w:t xml:space="preserve"> </w:t>
            </w:r>
          </w:p>
        </w:tc>
        <w:tc>
          <w:tcPr>
            <w:tcW w:w="1530" w:type="dxa"/>
            <w:tcBorders>
              <w:top w:val="nil"/>
              <w:bottom w:val="single" w:sz="4" w:space="0" w:color="auto"/>
            </w:tcBorders>
            <w:shd w:val="clear" w:color="auto" w:fill="auto"/>
            <w:noWrap/>
            <w:vAlign w:val="bottom"/>
          </w:tcPr>
          <w:p w:rsidR="00616877" w:rsidRPr="00616877" w:rsidRDefault="00616877" w:rsidP="00772C9C">
            <w:pPr>
              <w:jc w:val="center"/>
              <w:rPr>
                <w:rFonts w:cs="Times New Roman"/>
                <w:color w:val="000000"/>
                <w:sz w:val="22"/>
              </w:rPr>
            </w:pPr>
            <w:r w:rsidRPr="00616877">
              <w:rPr>
                <w:rFonts w:cs="Times New Roman"/>
                <w:color w:val="000000"/>
                <w:sz w:val="22"/>
              </w:rPr>
              <w:t>0.63</w:t>
            </w:r>
          </w:p>
        </w:tc>
        <w:tc>
          <w:tcPr>
            <w:tcW w:w="900" w:type="dxa"/>
            <w:tcBorders>
              <w:top w:val="nil"/>
              <w:bottom w:val="single" w:sz="4" w:space="0" w:color="auto"/>
            </w:tcBorders>
            <w:shd w:val="clear" w:color="auto" w:fill="auto"/>
            <w:noWrap/>
            <w:vAlign w:val="bottom"/>
          </w:tcPr>
          <w:p w:rsidR="00616877" w:rsidRPr="00616877" w:rsidRDefault="00616877" w:rsidP="00772C9C">
            <w:pPr>
              <w:jc w:val="right"/>
              <w:rPr>
                <w:rFonts w:cs="Times New Roman"/>
                <w:color w:val="000000"/>
                <w:sz w:val="22"/>
              </w:rPr>
            </w:pPr>
            <w:r w:rsidRPr="00616877">
              <w:rPr>
                <w:rFonts w:cs="Times New Roman"/>
                <w:color w:val="000000"/>
                <w:sz w:val="22"/>
              </w:rPr>
              <w:t>0.48</w:t>
            </w:r>
          </w:p>
        </w:tc>
        <w:tc>
          <w:tcPr>
            <w:tcW w:w="900" w:type="dxa"/>
            <w:tcBorders>
              <w:top w:val="nil"/>
              <w:bottom w:val="single" w:sz="4" w:space="0" w:color="auto"/>
            </w:tcBorders>
            <w:vAlign w:val="bottom"/>
          </w:tcPr>
          <w:p w:rsidR="00616877" w:rsidRPr="00616877" w:rsidRDefault="00616877" w:rsidP="00772C9C">
            <w:pPr>
              <w:rPr>
                <w:rFonts w:cs="Times New Roman"/>
                <w:color w:val="000000"/>
                <w:sz w:val="22"/>
              </w:rPr>
            </w:pPr>
            <w:r w:rsidRPr="00616877">
              <w:rPr>
                <w:rFonts w:cs="Times New Roman"/>
                <w:color w:val="000000"/>
                <w:sz w:val="22"/>
              </w:rPr>
              <w:t>0.71</w:t>
            </w:r>
          </w:p>
        </w:tc>
        <w:tc>
          <w:tcPr>
            <w:tcW w:w="1260" w:type="dxa"/>
            <w:tcBorders>
              <w:top w:val="nil"/>
              <w:bottom w:val="single" w:sz="4" w:space="0" w:color="auto"/>
            </w:tcBorders>
            <w:vAlign w:val="bottom"/>
          </w:tcPr>
          <w:p w:rsidR="00616877" w:rsidRPr="00616877" w:rsidRDefault="00616877" w:rsidP="00772C9C">
            <w:pPr>
              <w:jc w:val="center"/>
              <w:rPr>
                <w:rFonts w:cs="Times New Roman"/>
                <w:color w:val="000000"/>
                <w:sz w:val="22"/>
              </w:rPr>
            </w:pPr>
            <w:r w:rsidRPr="00616877">
              <w:rPr>
                <w:rFonts w:cs="Times New Roman"/>
                <w:color w:val="000000"/>
                <w:sz w:val="22"/>
              </w:rPr>
              <w:t>0.61</w:t>
            </w:r>
          </w:p>
        </w:tc>
        <w:tc>
          <w:tcPr>
            <w:tcW w:w="972" w:type="dxa"/>
            <w:tcBorders>
              <w:top w:val="nil"/>
              <w:bottom w:val="single" w:sz="4" w:space="0" w:color="auto"/>
            </w:tcBorders>
            <w:vAlign w:val="bottom"/>
          </w:tcPr>
          <w:p w:rsidR="00616877" w:rsidRPr="00616877" w:rsidRDefault="00616877" w:rsidP="00772C9C">
            <w:pPr>
              <w:jc w:val="right"/>
              <w:rPr>
                <w:rFonts w:cs="Times New Roman"/>
                <w:color w:val="000000"/>
                <w:sz w:val="22"/>
              </w:rPr>
            </w:pPr>
            <w:r w:rsidRPr="00616877">
              <w:rPr>
                <w:rFonts w:cs="Times New Roman"/>
                <w:color w:val="000000"/>
                <w:sz w:val="22"/>
              </w:rPr>
              <w:t>0.4</w:t>
            </w:r>
          </w:p>
        </w:tc>
        <w:tc>
          <w:tcPr>
            <w:tcW w:w="917" w:type="dxa"/>
            <w:tcBorders>
              <w:top w:val="nil"/>
              <w:bottom w:val="single" w:sz="4" w:space="0" w:color="auto"/>
              <w:right w:val="nil"/>
            </w:tcBorders>
            <w:vAlign w:val="bottom"/>
          </w:tcPr>
          <w:p w:rsidR="00616877" w:rsidRPr="00616877" w:rsidRDefault="00616877" w:rsidP="00772C9C">
            <w:pPr>
              <w:rPr>
                <w:rFonts w:cs="Times New Roman"/>
                <w:color w:val="000000"/>
                <w:sz w:val="22"/>
              </w:rPr>
            </w:pPr>
            <w:r w:rsidRPr="00616877">
              <w:rPr>
                <w:rFonts w:cs="Times New Roman"/>
                <w:color w:val="000000"/>
                <w:sz w:val="22"/>
              </w:rPr>
              <w:t>0.83</w:t>
            </w:r>
          </w:p>
        </w:tc>
      </w:tr>
    </w:tbl>
    <w:p w:rsidR="00616877" w:rsidRDefault="00616877" w:rsidP="00772C9C">
      <w:r w:rsidRPr="00E3359B">
        <w:t>Note: *</w:t>
      </w:r>
      <w:r w:rsidRPr="00E3359B">
        <w:rPr>
          <w:i/>
        </w:rPr>
        <w:t xml:space="preserve">Bold values indicate where the 95% BCa CIs do not overlap.  </w:t>
      </w:r>
    </w:p>
    <w:p w:rsidR="0074506C" w:rsidRDefault="0074506C" w:rsidP="00772C9C"/>
    <w:p w:rsidR="005204A8" w:rsidRDefault="005204A8" w:rsidP="00772C9C"/>
    <w:p w:rsidR="005204A8" w:rsidRDefault="00050E1E" w:rsidP="00772C9C">
      <w:pPr>
        <w:ind w:firstLine="720"/>
      </w:pPr>
      <w:r w:rsidRPr="00050E1E">
        <w:rPr>
          <w:b/>
        </w:rPr>
        <w:t>Estimated effect size.</w:t>
      </w:r>
      <w:r w:rsidRPr="00050E1E">
        <w:t xml:space="preserve"> We plotted the standard effect size (R</w:t>
      </w:r>
      <w:r w:rsidRPr="00050E1E">
        <w:rPr>
          <w:vertAlign w:val="superscript"/>
        </w:rPr>
        <w:t>2</w:t>
      </w:r>
      <w:r w:rsidRPr="00050E1E">
        <w:t>) using a KDE density plot that we were able to create</w:t>
      </w:r>
      <w:r>
        <w:t xml:space="preserve"> given the statistics reported. </w:t>
      </w:r>
      <w:r w:rsidRPr="00050E1E">
        <w:t>As depict</w:t>
      </w:r>
      <w:r>
        <w:t>ed in the top panel of Figure S1</w:t>
      </w:r>
      <w:r w:rsidRPr="00050E1E">
        <w:t>, both distributions were positively skewed, but in 2003-2004 there was a higher proportion of studies with R</w:t>
      </w:r>
      <w:r w:rsidRPr="00050E1E">
        <w:rPr>
          <w:vertAlign w:val="superscript"/>
        </w:rPr>
        <w:t>2</w:t>
      </w:r>
      <w:r w:rsidRPr="00050E1E">
        <w:t xml:space="preserve"> of .25 and larger. Using the entropy density equality test, we found that the two density plots differed significantly across time periods, S</w:t>
      </w:r>
      <w:r w:rsidRPr="00615DB9">
        <w:rPr>
          <w:i/>
        </w:rPr>
        <w:t>p</w:t>
      </w:r>
      <w:r w:rsidRPr="00050E1E">
        <w:t xml:space="preserve"> = .</w:t>
      </w:r>
      <w:r w:rsidR="00615DB9">
        <w:t>0353</w:t>
      </w:r>
      <w:r w:rsidRPr="00050E1E">
        <w:t xml:space="preserve">, </w:t>
      </w:r>
      <w:r w:rsidRPr="00615DB9">
        <w:rPr>
          <w:i/>
        </w:rPr>
        <w:t>p</w:t>
      </w:r>
      <w:r w:rsidRPr="00050E1E">
        <w:t xml:space="preserve"> &lt; .0001. </w:t>
      </w:r>
      <w:r w:rsidR="00615DB9">
        <w:t xml:space="preserve">Mean and median effect size </w:t>
      </w:r>
      <w:r w:rsidRPr="00050E1E">
        <w:t>decreased from 2003-2004 to 2013-2014. To help put these values into context, the</w:t>
      </w:r>
      <w:r w:rsidR="00615DB9">
        <w:t xml:space="preserve"> change in median value </w:t>
      </w:r>
      <w:r w:rsidR="00615DB9" w:rsidRPr="00050E1E">
        <w:t>R</w:t>
      </w:r>
      <w:r w:rsidR="00615DB9" w:rsidRPr="00050E1E">
        <w:rPr>
          <w:vertAlign w:val="superscript"/>
        </w:rPr>
        <w:t>2</w:t>
      </w:r>
      <w:r w:rsidR="00615DB9">
        <w:t>= .109</w:t>
      </w:r>
      <w:r w:rsidRPr="00050E1E">
        <w:t xml:space="preserve"> in 2003-2004 and the median value </w:t>
      </w:r>
      <w:r w:rsidR="00615DB9" w:rsidRPr="00050E1E">
        <w:t>R</w:t>
      </w:r>
      <w:r w:rsidR="00615DB9" w:rsidRPr="00050E1E">
        <w:rPr>
          <w:vertAlign w:val="superscript"/>
        </w:rPr>
        <w:t>2</w:t>
      </w:r>
      <w:r w:rsidR="00615DB9">
        <w:t xml:space="preserve"> = .075</w:t>
      </w:r>
      <w:r w:rsidRPr="00050E1E">
        <w:t xml:space="preserve"> in 2013-2014 is the equivalent t</w:t>
      </w:r>
      <w:r w:rsidR="00615DB9">
        <w:t>o a change in Cohen’s d from .70 to .57</w:t>
      </w:r>
      <w:r w:rsidRPr="00050E1E">
        <w:t xml:space="preserve">, respectively. If this were an independent </w:t>
      </w:r>
      <w:r w:rsidRPr="00050E1E">
        <w:lastRenderedPageBreak/>
        <w:t>sampl</w:t>
      </w:r>
      <w:r w:rsidR="00615DB9">
        <w:t>es t-test, it would mean that 48</w:t>
      </w:r>
      <w:r w:rsidRPr="00050E1E">
        <w:t>% more participants would be needed to maintain the same level of power (.80). These analyses do not directly specify whether research has improved or not, but do highlight the importance of evaluating numerous aspect of studies beyond just sample size or power.</w:t>
      </w:r>
    </w:p>
    <w:p w:rsidR="005204A8" w:rsidRDefault="005204A8" w:rsidP="00772C9C"/>
    <w:p w:rsidR="005204A8" w:rsidRDefault="005204A8" w:rsidP="00772C9C">
      <w:r w:rsidRPr="00B708D7">
        <w:rPr>
          <w:b/>
        </w:rPr>
        <w:t xml:space="preserve">Figure </w:t>
      </w:r>
      <w:r>
        <w:rPr>
          <w:b/>
        </w:rPr>
        <w:t>S1</w:t>
      </w:r>
      <w:r w:rsidRPr="00910B73">
        <w:t xml:space="preserve">. </w:t>
      </w:r>
      <w:r>
        <w:t>Top panel is the KDE density plot for observed effect size (</w:t>
      </w:r>
      <w:r w:rsidRPr="005204A8">
        <w:rPr>
          <w:i/>
        </w:rPr>
        <w:t>R</w:t>
      </w:r>
      <w:r w:rsidRPr="005204A8">
        <w:rPr>
          <w:vertAlign w:val="superscript"/>
        </w:rPr>
        <w:t>2</w:t>
      </w:r>
      <w:r>
        <w:t>) from reported test statistics (</w:t>
      </w:r>
      <w:r w:rsidRPr="00564CE3">
        <w:rPr>
          <w:i/>
        </w:rPr>
        <w:t>t</w:t>
      </w:r>
      <w:r>
        <w:t xml:space="preserve">, </w:t>
      </w:r>
      <w:r w:rsidRPr="001E5E85">
        <w:rPr>
          <w:i/>
        </w:rPr>
        <w:t>F</w:t>
      </w:r>
      <w:r>
        <w:t xml:space="preserve">, </w:t>
      </w:r>
      <w:r w:rsidRPr="00564CE3">
        <w:rPr>
          <w:i/>
        </w:rPr>
        <w:t>r</w:t>
      </w:r>
      <w:r>
        <w:t xml:space="preserve">) </w:t>
      </w:r>
      <w:r w:rsidRPr="00910B73">
        <w:t xml:space="preserve">by </w:t>
      </w:r>
      <w:r>
        <w:t>time period</w:t>
      </w:r>
      <w:r w:rsidRPr="00910B73">
        <w:t xml:space="preserve"> </w:t>
      </w:r>
      <w:r>
        <w:t>and the bottom panel is a forest plot with 95% BCa CI for measures of central tendency</w:t>
      </w:r>
      <w:r w:rsidRPr="00910B73">
        <w:t>.</w:t>
      </w:r>
    </w:p>
    <w:p w:rsidR="005204A8" w:rsidRDefault="005204A8" w:rsidP="00772C9C"/>
    <w:p w:rsidR="005204A8" w:rsidRDefault="005204A8" w:rsidP="00772C9C"/>
    <w:p w:rsidR="005204A8" w:rsidRDefault="00ED3D20" w:rsidP="00772C9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in">
            <v:imagedata r:id="rId6" o:title="FigureS2"/>
          </v:shape>
        </w:pict>
      </w:r>
    </w:p>
    <w:p w:rsidR="005204A8" w:rsidRDefault="005204A8" w:rsidP="00772C9C">
      <w:pPr>
        <w:ind w:firstLine="720"/>
      </w:pPr>
      <w:r>
        <w:rPr>
          <w:b/>
        </w:rPr>
        <w:t>Post-Hoc Power</w:t>
      </w:r>
      <w:r w:rsidRPr="00DB5899">
        <w:rPr>
          <w:b/>
        </w:rPr>
        <w:t>.</w:t>
      </w:r>
      <w:r w:rsidRPr="00DB5899">
        <w:t xml:space="preserve"> </w:t>
      </w:r>
      <w:r>
        <w:t xml:space="preserve">Figure S2 shows the KDE distributions of </w:t>
      </w:r>
      <w:r>
        <w:rPr>
          <w:i/>
        </w:rPr>
        <w:t>post-hoc</w:t>
      </w:r>
      <w:r>
        <w:t xml:space="preserve"> power by year (see Hoenig &amp; Heisey, 2001).  As with Observed power seen in Figure 8 of the paper, the distribution was highly negatively skewed with peaks at power of 1, suggesting publication bias. T</w:t>
      </w:r>
      <w:r>
        <w:rPr>
          <w:rFonts w:cs="Times New Roman"/>
          <w:color w:val="000000"/>
          <w:szCs w:val="24"/>
        </w:rPr>
        <w:t xml:space="preserve">he entropy density equality test did not differ significantly across time periods for observed power, </w:t>
      </w:r>
      <w:r w:rsidRPr="00B66ADB">
        <w:rPr>
          <w:rFonts w:cs="Times New Roman"/>
          <w:i/>
          <w:color w:val="000000"/>
          <w:szCs w:val="24"/>
        </w:rPr>
        <w:t>S</w:t>
      </w:r>
      <w:r w:rsidRPr="00564CE3">
        <w:rPr>
          <w:rFonts w:cs="Times New Roman"/>
          <w:i/>
          <w:color w:val="000000"/>
          <w:szCs w:val="24"/>
          <w:vertAlign w:val="subscript"/>
        </w:rPr>
        <w:t>p</w:t>
      </w:r>
      <w:r>
        <w:rPr>
          <w:rFonts w:cs="Times New Roman"/>
          <w:color w:val="000000"/>
          <w:szCs w:val="24"/>
        </w:rPr>
        <w:t xml:space="preserve"> = .0138, </w:t>
      </w:r>
      <w:r w:rsidRPr="00564CE3">
        <w:rPr>
          <w:rFonts w:cs="Times New Roman"/>
          <w:i/>
          <w:color w:val="000000"/>
          <w:szCs w:val="24"/>
        </w:rPr>
        <w:t>p</w:t>
      </w:r>
      <w:r>
        <w:rPr>
          <w:rFonts w:cs="Times New Roman"/>
          <w:color w:val="000000"/>
          <w:szCs w:val="24"/>
        </w:rPr>
        <w:t xml:space="preserve"> = .155. </w:t>
      </w:r>
      <w:r>
        <w:t xml:space="preserve">In other words, the post hoc estimate of power has remained stable from 2003-2004 to 2013-2014. Although post hoc power estimates are extremely upwardly biased and should be interpreted with great caution, the median values were </w:t>
      </w:r>
      <w:r w:rsidR="00050E1E">
        <w:t>just below</w:t>
      </w:r>
      <w:r>
        <w:t xml:space="preserve"> Cohen’s .80 threshold for both time periods, a conclusion more consistent with an interpretation of </w:t>
      </w:r>
      <w:r w:rsidRPr="00771521">
        <w:rPr>
          <w:i/>
        </w:rPr>
        <w:t xml:space="preserve">it’s </w:t>
      </w:r>
      <w:r w:rsidRPr="003406E5">
        <w:rPr>
          <w:i/>
        </w:rPr>
        <w:t>not so bad</w:t>
      </w:r>
      <w:r>
        <w:t xml:space="preserve"> than </w:t>
      </w:r>
      <w:r>
        <w:rPr>
          <w:i/>
        </w:rPr>
        <w:t>it’s rotten to the core</w:t>
      </w:r>
      <w:r>
        <w:t xml:space="preserve">. </w:t>
      </w:r>
    </w:p>
    <w:p w:rsidR="005204A8" w:rsidRDefault="005204A8" w:rsidP="00772C9C">
      <w:pPr>
        <w:ind w:firstLine="720"/>
        <w:rPr>
          <w:b/>
        </w:rPr>
      </w:pPr>
    </w:p>
    <w:p w:rsidR="005204A8" w:rsidRDefault="005204A8" w:rsidP="00772C9C">
      <w:r w:rsidRPr="00B708D7">
        <w:rPr>
          <w:b/>
        </w:rPr>
        <w:t xml:space="preserve">Figure </w:t>
      </w:r>
      <w:r>
        <w:rPr>
          <w:b/>
        </w:rPr>
        <w:t>S2</w:t>
      </w:r>
      <w:r w:rsidRPr="00910B73">
        <w:t xml:space="preserve">. </w:t>
      </w:r>
      <w:r>
        <w:t>Top panel is the KDE density plot for post-hoc power from reported test statistics (</w:t>
      </w:r>
      <w:r w:rsidRPr="00564CE3">
        <w:rPr>
          <w:i/>
        </w:rPr>
        <w:t>t</w:t>
      </w:r>
      <w:r>
        <w:t xml:space="preserve">, </w:t>
      </w:r>
      <w:r w:rsidRPr="001E5E85">
        <w:rPr>
          <w:i/>
        </w:rPr>
        <w:t>F</w:t>
      </w:r>
      <w:r>
        <w:t xml:space="preserve">, </w:t>
      </w:r>
      <w:r w:rsidRPr="00564CE3">
        <w:rPr>
          <w:i/>
        </w:rPr>
        <w:t>r</w:t>
      </w:r>
      <w:r>
        <w:t xml:space="preserve">) </w:t>
      </w:r>
      <w:r w:rsidRPr="00910B73">
        <w:t xml:space="preserve">by </w:t>
      </w:r>
      <w:r>
        <w:t>time period</w:t>
      </w:r>
      <w:r w:rsidRPr="00910B73">
        <w:t xml:space="preserve"> </w:t>
      </w:r>
      <w:r>
        <w:t>and the bottom panel is a forest plot with 95% BCa CI for measures of central tendency</w:t>
      </w:r>
      <w:r w:rsidRPr="00910B73">
        <w:t>.</w:t>
      </w:r>
    </w:p>
    <w:p w:rsidR="005204A8" w:rsidRDefault="005204A8" w:rsidP="00772C9C"/>
    <w:p w:rsidR="005204A8" w:rsidRDefault="00ED3D20" w:rsidP="00772C9C">
      <w:r>
        <w:lastRenderedPageBreak/>
        <w:pict>
          <v:shape id="_x0000_i1026" type="#_x0000_t75" style="width:4in;height:4in">
            <v:imagedata r:id="rId7" o:title="FigureS1"/>
          </v:shape>
        </w:pict>
      </w:r>
    </w:p>
    <w:p w:rsidR="004915B0" w:rsidRDefault="004915B0" w:rsidP="00772C9C"/>
    <w:p w:rsidR="00772C9C" w:rsidRDefault="00772C9C" w:rsidP="00772C9C">
      <w:pPr>
        <w:rPr>
          <w:b/>
        </w:rPr>
      </w:pPr>
      <w:r>
        <w:rPr>
          <w:b/>
        </w:rPr>
        <w:t>Journal-by-journal comparison of estimated power.</w:t>
      </w:r>
    </w:p>
    <w:p w:rsidR="00772C9C" w:rsidRDefault="00772C9C" w:rsidP="00772C9C">
      <w:pPr>
        <w:rPr>
          <w:b/>
        </w:rPr>
      </w:pPr>
    </w:p>
    <w:p w:rsidR="00772C9C" w:rsidRDefault="00772C9C" w:rsidP="00772C9C">
      <w:pPr>
        <w:ind w:firstLine="720"/>
      </w:pPr>
      <w:r>
        <w:t xml:space="preserve">Following Fraley and Vazire (2014), we estimated the percentage of studies conducted that should have power of .80, assuming the average effect size in social/personality psychology of </w:t>
      </w:r>
      <w:r w:rsidRPr="00564133">
        <w:rPr>
          <w:i/>
        </w:rPr>
        <w:t>r</w:t>
      </w:r>
      <w:r>
        <w:t xml:space="preserve"> = .21 or </w:t>
      </w:r>
      <w:r w:rsidRPr="00564133">
        <w:rPr>
          <w:i/>
        </w:rPr>
        <w:t>d</w:t>
      </w:r>
      <w:r>
        <w:t xml:space="preserve"> = .43 and assuming all designs are between-subjects </w:t>
      </w:r>
      <w:r w:rsidRPr="00D77FC3">
        <w:rPr>
          <w:i/>
        </w:rPr>
        <w:t>t</w:t>
      </w:r>
      <w:r>
        <w:t xml:space="preserve">-tests (Richard, Bond, &amp; Stokes-Zoota, 2003). Under these assumptions, studies with sample sizes at or greater then </w:t>
      </w:r>
      <w:r w:rsidRPr="00D77FC3">
        <w:rPr>
          <w:i/>
        </w:rPr>
        <w:t>n</w:t>
      </w:r>
      <w:r>
        <w:t xml:space="preserve"> = 172 would be sufficient sample size to claim evidentiary value at </w:t>
      </w:r>
      <w:r w:rsidRPr="00D77FC3">
        <w:rPr>
          <w:i/>
        </w:rPr>
        <w:t>a priori</w:t>
      </w:r>
      <w:r>
        <w:t xml:space="preserve"> power = .80. Under these admittedly conservative assumptions, the percentage of studies with a sufficient sample to obtain a power of .80 significantly increased from 15.20% </w:t>
      </w:r>
      <w:r>
        <w:rPr>
          <w:rFonts w:cs="Times New Roman"/>
          <w:szCs w:val="24"/>
        </w:rPr>
        <w:t>[CI</w:t>
      </w:r>
      <w:r w:rsidRPr="00457ABA">
        <w:rPr>
          <w:rFonts w:cs="Times New Roman"/>
          <w:szCs w:val="24"/>
          <w:vertAlign w:val="subscript"/>
        </w:rPr>
        <w:t>95%</w:t>
      </w:r>
      <w:r>
        <w:rPr>
          <w:rFonts w:cs="Times New Roman"/>
          <w:szCs w:val="24"/>
        </w:rPr>
        <w:t xml:space="preserve"> = 11.70, 19.00]</w:t>
      </w:r>
      <w:r>
        <w:t xml:space="preserve"> in 2003-2004 to 24.27% </w:t>
      </w:r>
      <w:r>
        <w:rPr>
          <w:rFonts w:cs="Times New Roman"/>
          <w:szCs w:val="24"/>
        </w:rPr>
        <w:t>[CI</w:t>
      </w:r>
      <w:r w:rsidRPr="00457ABA">
        <w:rPr>
          <w:rFonts w:cs="Times New Roman"/>
          <w:szCs w:val="24"/>
          <w:vertAlign w:val="subscript"/>
        </w:rPr>
        <w:t>95%</w:t>
      </w:r>
      <w:r>
        <w:rPr>
          <w:rFonts w:cs="Times New Roman"/>
          <w:szCs w:val="24"/>
        </w:rPr>
        <w:t xml:space="preserve"> = 20.92, 27.18]</w:t>
      </w:r>
      <w:r>
        <w:t xml:space="preserve"> in 2013-2014.</w:t>
      </w:r>
      <w:r>
        <w:rPr>
          <w:rStyle w:val="FootnoteReference"/>
        </w:rPr>
        <w:footnoteReference w:id="1"/>
      </w:r>
      <w:r>
        <w:t xml:space="preserve"> Additionally, these changes are not the same at each of the four journals examined. Instead, </w:t>
      </w:r>
      <w:r w:rsidRPr="00564133">
        <w:rPr>
          <w:i/>
        </w:rPr>
        <w:t>Psychological Science</w:t>
      </w:r>
      <w:r>
        <w:t xml:space="preserve"> shows the greatest (and only significant) increase over the time period from 35.19% </w:t>
      </w:r>
      <w:r>
        <w:rPr>
          <w:rFonts w:cs="Times New Roman"/>
          <w:szCs w:val="24"/>
        </w:rPr>
        <w:t>[CI</w:t>
      </w:r>
      <w:r w:rsidRPr="00457ABA">
        <w:rPr>
          <w:rFonts w:cs="Times New Roman"/>
          <w:szCs w:val="24"/>
          <w:vertAlign w:val="subscript"/>
        </w:rPr>
        <w:t>95%</w:t>
      </w:r>
      <w:r>
        <w:rPr>
          <w:rFonts w:cs="Times New Roman"/>
          <w:szCs w:val="24"/>
        </w:rPr>
        <w:t xml:space="preserve"> 29.16%, 42.48%]</w:t>
      </w:r>
      <w:r>
        <w:t xml:space="preserve"> in 2003-2004 to 58.81% </w:t>
      </w:r>
      <w:r>
        <w:rPr>
          <w:rFonts w:cs="Times New Roman"/>
          <w:szCs w:val="24"/>
        </w:rPr>
        <w:t>[CI</w:t>
      </w:r>
      <w:r w:rsidRPr="00457ABA">
        <w:rPr>
          <w:rFonts w:cs="Times New Roman"/>
          <w:szCs w:val="24"/>
          <w:vertAlign w:val="subscript"/>
        </w:rPr>
        <w:t>95%</w:t>
      </w:r>
      <w:r>
        <w:rPr>
          <w:rFonts w:cs="Times New Roman"/>
          <w:szCs w:val="24"/>
        </w:rPr>
        <w:t xml:space="preserve"> 49.98, 67.76%]</w:t>
      </w:r>
      <w:r>
        <w:t xml:space="preserve"> of studies having power of .80 in 2013-2014. While the other journals showed some increase, none were beyond the confidence internals </w:t>
      </w:r>
      <w:r>
        <w:t>(see Figure below</w:t>
      </w:r>
      <w:r>
        <w:t xml:space="preserve">). </w:t>
      </w:r>
    </w:p>
    <w:p w:rsidR="00772C9C" w:rsidRDefault="00772C9C" w:rsidP="00772C9C">
      <w:pPr>
        <w:rPr>
          <w:b/>
        </w:rPr>
      </w:pPr>
    </w:p>
    <w:p w:rsidR="00772C9C" w:rsidRPr="00910B73" w:rsidRDefault="00772C9C" w:rsidP="00772C9C">
      <w:r>
        <w:rPr>
          <w:b/>
        </w:rPr>
        <w:t>Figure</w:t>
      </w:r>
      <w:r w:rsidRPr="00B708D7">
        <w:rPr>
          <w:b/>
        </w:rPr>
        <w:t>.</w:t>
      </w:r>
      <w:r w:rsidRPr="00910B73">
        <w:t xml:space="preserve"> </w:t>
      </w:r>
      <w:r>
        <w:t xml:space="preserve">The power of each journal to detect an effect of size of d = .430, based on each journals median sample size. The drop line represents the sample median collapsing across journals within each time period. </w:t>
      </w:r>
    </w:p>
    <w:p w:rsidR="00772C9C" w:rsidRDefault="00772C9C" w:rsidP="00772C9C">
      <w:pPr>
        <w:rPr>
          <w:b/>
        </w:rPr>
      </w:pPr>
      <w:r>
        <w:rPr>
          <w:b/>
          <w:noProof/>
        </w:rPr>
        <w:lastRenderedPageBreak/>
        <w:drawing>
          <wp:inline distT="0" distB="0" distL="0" distR="0" wp14:anchorId="3BE4C864" wp14:editId="52E8856F">
            <wp:extent cx="4632960" cy="3657600"/>
            <wp:effectExtent l="0" t="0" r="0" b="0"/>
            <wp:docPr id="3" name="Picture 3" descr="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2960" cy="3657600"/>
                    </a:xfrm>
                    <a:prstGeom prst="rect">
                      <a:avLst/>
                    </a:prstGeom>
                    <a:noFill/>
                    <a:ln>
                      <a:noFill/>
                    </a:ln>
                  </pic:spPr>
                </pic:pic>
              </a:graphicData>
            </a:graphic>
          </wp:inline>
        </w:drawing>
      </w:r>
    </w:p>
    <w:p w:rsidR="00772C9C" w:rsidRDefault="00772C9C" w:rsidP="00772C9C">
      <w:pPr>
        <w:rPr>
          <w:b/>
        </w:rPr>
      </w:pPr>
    </w:p>
    <w:p w:rsidR="004915B0" w:rsidRDefault="004915B0" w:rsidP="00772C9C">
      <w:pPr>
        <w:rPr>
          <w:b/>
        </w:rPr>
      </w:pPr>
      <w:r w:rsidRPr="004915B0">
        <w:rPr>
          <w:b/>
        </w:rPr>
        <w:t>TIVA conversation to power</w:t>
      </w:r>
    </w:p>
    <w:p w:rsidR="004915B0" w:rsidRDefault="004915B0" w:rsidP="00772C9C">
      <w:r>
        <w:rPr>
          <w:b/>
        </w:rPr>
        <w:tab/>
      </w:r>
      <w:r w:rsidRPr="004915B0">
        <w:t>Because</w:t>
      </w:r>
      <w:r>
        <w:rPr>
          <w:b/>
        </w:rPr>
        <w:t xml:space="preserve"> </w:t>
      </w:r>
      <w:r w:rsidRPr="004915B0">
        <w:t>TIVA</w:t>
      </w:r>
      <w:r>
        <w:t xml:space="preserve"> basically is measurement of the variance of scores, it means we can covert it over to the effect size, R</w:t>
      </w:r>
      <w:r w:rsidRPr="004915B0">
        <w:rPr>
          <w:vertAlign w:val="superscript"/>
        </w:rPr>
        <w:t>2</w:t>
      </w:r>
      <w:r>
        <w:t xml:space="preserve"> (Explained variance / Explained + Chance variance).   We assumed that chance variance in the perfect case would be a uniform distribution of </w:t>
      </w:r>
      <w:r w:rsidRPr="004915B0">
        <w:rPr>
          <w:i/>
        </w:rPr>
        <w:t>Z</w:t>
      </w:r>
      <w:r>
        <w:t xml:space="preserve">-scores, which is also the null case in </w:t>
      </w:r>
      <w:r w:rsidRPr="004915B0">
        <w:rPr>
          <w:i/>
        </w:rPr>
        <w:t>P</w:t>
      </w:r>
      <w:r>
        <w:t xml:space="preserve">-Curve. We bounded the </w:t>
      </w:r>
      <w:r w:rsidRPr="004915B0">
        <w:rPr>
          <w:i/>
        </w:rPr>
        <w:t>Z</w:t>
      </w:r>
      <w:r>
        <w:t>-scores of the uniform distribution to the max and min of our data and used it as the chance value in our calculation: R</w:t>
      </w:r>
      <w:r w:rsidRPr="004915B0">
        <w:rPr>
          <w:vertAlign w:val="superscript"/>
        </w:rPr>
        <w:t>2</w:t>
      </w:r>
      <w:r>
        <w:t xml:space="preserve"> = Variance Z-scores / Variance Z-scores + Variance Uniform Distribution of Z-scores).  We used this value with lowest bound of median sample size (</w:t>
      </w:r>
      <w:r w:rsidRPr="004915B0">
        <w:rPr>
          <w:i/>
        </w:rPr>
        <w:t>n</w:t>
      </w:r>
      <w:r>
        <w:t xml:space="preserve"> = 84) in a between-subjects t-test to estimate power. See Line 1028 of our R script for the function.     </w:t>
      </w:r>
    </w:p>
    <w:p w:rsidR="004915B0" w:rsidRPr="004915B0" w:rsidRDefault="004915B0" w:rsidP="00772C9C">
      <w:r w:rsidRPr="004915B0">
        <w:t xml:space="preserve"> </w:t>
      </w:r>
    </w:p>
    <w:sectPr w:rsidR="004915B0" w:rsidRPr="00491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D20" w:rsidRDefault="00ED3D20" w:rsidP="005204A8">
      <w:r>
        <w:separator/>
      </w:r>
    </w:p>
  </w:endnote>
  <w:endnote w:type="continuationSeparator" w:id="0">
    <w:p w:rsidR="00ED3D20" w:rsidRDefault="00ED3D20" w:rsidP="0052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D20" w:rsidRDefault="00ED3D20" w:rsidP="005204A8">
      <w:r>
        <w:separator/>
      </w:r>
    </w:p>
  </w:footnote>
  <w:footnote w:type="continuationSeparator" w:id="0">
    <w:p w:rsidR="00ED3D20" w:rsidRDefault="00ED3D20" w:rsidP="005204A8">
      <w:r>
        <w:continuationSeparator/>
      </w:r>
    </w:p>
  </w:footnote>
  <w:footnote w:id="1">
    <w:p w:rsidR="00772C9C" w:rsidRDefault="00772C9C" w:rsidP="00772C9C">
      <w:pPr>
        <w:pStyle w:val="FootnoteText"/>
      </w:pPr>
      <w:r>
        <w:rPr>
          <w:rStyle w:val="FootnoteReference"/>
        </w:rPr>
        <w:footnoteRef/>
      </w:r>
      <w:r>
        <w:t xml:space="preserve"> This analysis only includes studies that used </w:t>
      </w:r>
      <w:r>
        <w:rPr>
          <w:rFonts w:cs="Times New Roman"/>
        </w:rPr>
        <w:t>χ</w:t>
      </w:r>
      <w:r w:rsidRPr="007552F7">
        <w:rPr>
          <w:vertAlign w:val="superscript"/>
        </w:rPr>
        <w:t>2</w:t>
      </w:r>
      <w:r>
        <w:t xml:space="preserve">, </w:t>
      </w:r>
      <w:r w:rsidRPr="007552F7">
        <w:rPr>
          <w:i/>
        </w:rPr>
        <w:t>F</w:t>
      </w:r>
      <w:r>
        <w:t xml:space="preserve">, </w:t>
      </w:r>
      <w:r w:rsidRPr="007552F7">
        <w:rPr>
          <w:i/>
        </w:rPr>
        <w:t>t</w:t>
      </w:r>
      <w:r>
        <w:t xml:space="preserve">, and </w:t>
      </w:r>
      <w:r w:rsidRPr="007552F7">
        <w:rPr>
          <w:i/>
        </w:rPr>
        <w:t>r</w:t>
      </w:r>
      <w:r>
        <w:t xml:space="preserve"> tests.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8F"/>
    <w:rsid w:val="00022438"/>
    <w:rsid w:val="00050E1E"/>
    <w:rsid w:val="000A4D38"/>
    <w:rsid w:val="000C024D"/>
    <w:rsid w:val="000C36A7"/>
    <w:rsid w:val="000C6C47"/>
    <w:rsid w:val="000C75C5"/>
    <w:rsid w:val="000D6681"/>
    <w:rsid w:val="000F2881"/>
    <w:rsid w:val="00120E89"/>
    <w:rsid w:val="0014416C"/>
    <w:rsid w:val="00146C1A"/>
    <w:rsid w:val="00154EC3"/>
    <w:rsid w:val="0015623E"/>
    <w:rsid w:val="00171A84"/>
    <w:rsid w:val="0017604F"/>
    <w:rsid w:val="001922D6"/>
    <w:rsid w:val="001D06EF"/>
    <w:rsid w:val="001D0F9C"/>
    <w:rsid w:val="001E6C65"/>
    <w:rsid w:val="00256E5D"/>
    <w:rsid w:val="00273518"/>
    <w:rsid w:val="002A0E30"/>
    <w:rsid w:val="003229C4"/>
    <w:rsid w:val="00336F8D"/>
    <w:rsid w:val="00337D7E"/>
    <w:rsid w:val="00375996"/>
    <w:rsid w:val="0038329A"/>
    <w:rsid w:val="00397B9B"/>
    <w:rsid w:val="003A5466"/>
    <w:rsid w:val="003B5ACA"/>
    <w:rsid w:val="003C5DF2"/>
    <w:rsid w:val="003D05EB"/>
    <w:rsid w:val="003D5B49"/>
    <w:rsid w:val="00402E7D"/>
    <w:rsid w:val="004061A9"/>
    <w:rsid w:val="0042229F"/>
    <w:rsid w:val="004374CF"/>
    <w:rsid w:val="00480CFA"/>
    <w:rsid w:val="004915B0"/>
    <w:rsid w:val="004918C3"/>
    <w:rsid w:val="004A3994"/>
    <w:rsid w:val="004A69F5"/>
    <w:rsid w:val="004B5ECC"/>
    <w:rsid w:val="004C2A14"/>
    <w:rsid w:val="004D13D9"/>
    <w:rsid w:val="00504CEC"/>
    <w:rsid w:val="00505388"/>
    <w:rsid w:val="00505719"/>
    <w:rsid w:val="00510EAD"/>
    <w:rsid w:val="005204A8"/>
    <w:rsid w:val="0055479F"/>
    <w:rsid w:val="005659AA"/>
    <w:rsid w:val="00580971"/>
    <w:rsid w:val="005B6D79"/>
    <w:rsid w:val="005D4219"/>
    <w:rsid w:val="00615DB9"/>
    <w:rsid w:val="00616877"/>
    <w:rsid w:val="006340E2"/>
    <w:rsid w:val="006402E8"/>
    <w:rsid w:val="0065333A"/>
    <w:rsid w:val="00675D0E"/>
    <w:rsid w:val="006869E9"/>
    <w:rsid w:val="00697E22"/>
    <w:rsid w:val="006B6961"/>
    <w:rsid w:val="006C3EF8"/>
    <w:rsid w:val="006D5017"/>
    <w:rsid w:val="006F5D70"/>
    <w:rsid w:val="00705E37"/>
    <w:rsid w:val="007237B8"/>
    <w:rsid w:val="00732F21"/>
    <w:rsid w:val="0074506C"/>
    <w:rsid w:val="007705D7"/>
    <w:rsid w:val="00772C9C"/>
    <w:rsid w:val="00775132"/>
    <w:rsid w:val="007B60A3"/>
    <w:rsid w:val="007B6602"/>
    <w:rsid w:val="007C1CC2"/>
    <w:rsid w:val="007D27D3"/>
    <w:rsid w:val="007E791F"/>
    <w:rsid w:val="008127F0"/>
    <w:rsid w:val="008203F0"/>
    <w:rsid w:val="008270E8"/>
    <w:rsid w:val="00841349"/>
    <w:rsid w:val="008607C8"/>
    <w:rsid w:val="0086086C"/>
    <w:rsid w:val="00882733"/>
    <w:rsid w:val="00896438"/>
    <w:rsid w:val="00897F8D"/>
    <w:rsid w:val="008C5CB3"/>
    <w:rsid w:val="008D4D73"/>
    <w:rsid w:val="008D50C2"/>
    <w:rsid w:val="008E4366"/>
    <w:rsid w:val="008F179A"/>
    <w:rsid w:val="008F7937"/>
    <w:rsid w:val="0091403C"/>
    <w:rsid w:val="0092168F"/>
    <w:rsid w:val="00944318"/>
    <w:rsid w:val="00960D6A"/>
    <w:rsid w:val="0096240D"/>
    <w:rsid w:val="00980239"/>
    <w:rsid w:val="009A7929"/>
    <w:rsid w:val="009D53E8"/>
    <w:rsid w:val="009E510A"/>
    <w:rsid w:val="009E74D8"/>
    <w:rsid w:val="00A3732D"/>
    <w:rsid w:val="00A74FC3"/>
    <w:rsid w:val="00A7635D"/>
    <w:rsid w:val="00A81F99"/>
    <w:rsid w:val="00AA0D92"/>
    <w:rsid w:val="00AA4227"/>
    <w:rsid w:val="00AA6E55"/>
    <w:rsid w:val="00AC2489"/>
    <w:rsid w:val="00AC3681"/>
    <w:rsid w:val="00AE749D"/>
    <w:rsid w:val="00AF0F6A"/>
    <w:rsid w:val="00AF5C1A"/>
    <w:rsid w:val="00B07D66"/>
    <w:rsid w:val="00B21085"/>
    <w:rsid w:val="00B21CC4"/>
    <w:rsid w:val="00B455A1"/>
    <w:rsid w:val="00B64EF6"/>
    <w:rsid w:val="00BD1948"/>
    <w:rsid w:val="00BE76E0"/>
    <w:rsid w:val="00C05277"/>
    <w:rsid w:val="00C21017"/>
    <w:rsid w:val="00C37730"/>
    <w:rsid w:val="00C56DD2"/>
    <w:rsid w:val="00C57065"/>
    <w:rsid w:val="00C72C5B"/>
    <w:rsid w:val="00C7351A"/>
    <w:rsid w:val="00C8432B"/>
    <w:rsid w:val="00C905D3"/>
    <w:rsid w:val="00C92038"/>
    <w:rsid w:val="00C9376A"/>
    <w:rsid w:val="00CC2E6D"/>
    <w:rsid w:val="00CC3270"/>
    <w:rsid w:val="00CF3A5D"/>
    <w:rsid w:val="00D03D8B"/>
    <w:rsid w:val="00D12EA6"/>
    <w:rsid w:val="00D2288F"/>
    <w:rsid w:val="00D32AE7"/>
    <w:rsid w:val="00D3332C"/>
    <w:rsid w:val="00D521CA"/>
    <w:rsid w:val="00D65617"/>
    <w:rsid w:val="00DA24B2"/>
    <w:rsid w:val="00E24C1E"/>
    <w:rsid w:val="00E31A7C"/>
    <w:rsid w:val="00E50750"/>
    <w:rsid w:val="00E85E8F"/>
    <w:rsid w:val="00E903DA"/>
    <w:rsid w:val="00EC3B62"/>
    <w:rsid w:val="00EC3BD8"/>
    <w:rsid w:val="00ED1B7D"/>
    <w:rsid w:val="00ED3D20"/>
    <w:rsid w:val="00ED5FA1"/>
    <w:rsid w:val="00EE4C16"/>
    <w:rsid w:val="00F1072F"/>
    <w:rsid w:val="00F13779"/>
    <w:rsid w:val="00F37AAA"/>
    <w:rsid w:val="00F9597F"/>
    <w:rsid w:val="00FD4358"/>
    <w:rsid w:val="00FD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BF3E9-E8F3-44AC-906D-DDF0353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8F"/>
    <w:pPr>
      <w:spacing w:after="0" w:line="240" w:lineRule="auto"/>
    </w:pPr>
    <w:rPr>
      <w:rFonts w:ascii="Times New Roman" w:eastAsia="Times New Roman" w:hAnsi="Times New Roman" w:cs="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D53E8"/>
    <w:rPr>
      <w:sz w:val="16"/>
      <w:szCs w:val="16"/>
    </w:rPr>
  </w:style>
  <w:style w:type="paragraph" w:styleId="CommentText">
    <w:name w:val="annotation text"/>
    <w:basedOn w:val="Normal"/>
    <w:link w:val="CommentTextChar"/>
    <w:uiPriority w:val="99"/>
    <w:unhideWhenUsed/>
    <w:rsid w:val="009D53E8"/>
    <w:rPr>
      <w:rFonts w:cs="Times New Roman"/>
      <w:sz w:val="20"/>
      <w:szCs w:val="20"/>
    </w:rPr>
  </w:style>
  <w:style w:type="character" w:customStyle="1" w:styleId="CommentTextChar">
    <w:name w:val="Comment Text Char"/>
    <w:basedOn w:val="DefaultParagraphFont"/>
    <w:link w:val="CommentText"/>
    <w:uiPriority w:val="99"/>
    <w:rsid w:val="009D53E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D53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3E8"/>
    <w:rPr>
      <w:rFonts w:ascii="Segoe UI" w:eastAsia="Times New Roman" w:hAnsi="Segoe UI" w:cs="Segoe UI"/>
      <w:sz w:val="18"/>
      <w:szCs w:val="18"/>
    </w:rPr>
  </w:style>
  <w:style w:type="paragraph" w:styleId="FootnoteText">
    <w:name w:val="footnote text"/>
    <w:basedOn w:val="Normal"/>
    <w:link w:val="FootnoteTextChar"/>
    <w:uiPriority w:val="99"/>
    <w:unhideWhenUsed/>
    <w:rsid w:val="005204A8"/>
    <w:rPr>
      <w:sz w:val="20"/>
      <w:szCs w:val="20"/>
    </w:rPr>
  </w:style>
  <w:style w:type="character" w:customStyle="1" w:styleId="FootnoteTextChar">
    <w:name w:val="Footnote Text Char"/>
    <w:basedOn w:val="DefaultParagraphFont"/>
    <w:link w:val="FootnoteText"/>
    <w:uiPriority w:val="99"/>
    <w:rsid w:val="005204A8"/>
    <w:rPr>
      <w:rFonts w:ascii="Times New Roman" w:eastAsia="Times New Roman" w:hAnsi="Times New Roman" w:cs="Calibri"/>
      <w:sz w:val="20"/>
      <w:szCs w:val="20"/>
    </w:rPr>
  </w:style>
  <w:style w:type="character" w:styleId="FootnoteReference">
    <w:name w:val="footnote reference"/>
    <w:basedOn w:val="DefaultParagraphFont"/>
    <w:uiPriority w:val="99"/>
    <w:unhideWhenUsed/>
    <w:rsid w:val="005204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6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Demos</dc:creator>
  <cp:keywords/>
  <dc:description/>
  <cp:lastModifiedBy>Matt</cp:lastModifiedBy>
  <cp:revision>2</cp:revision>
  <dcterms:created xsi:type="dcterms:W3CDTF">2016-11-15T18:37:00Z</dcterms:created>
  <dcterms:modified xsi:type="dcterms:W3CDTF">2016-11-15T18:37:00Z</dcterms:modified>
</cp:coreProperties>
</file>