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A6C24" w14:textId="77777777" w:rsidR="00701B5F" w:rsidRPr="004B1873" w:rsidRDefault="00701B5F" w:rsidP="00701B5F">
      <w:pPr>
        <w:spacing w:line="480" w:lineRule="auto"/>
        <w:jc w:val="center"/>
        <w:rPr>
          <w:b/>
        </w:rPr>
      </w:pPr>
      <w:r>
        <w:rPr>
          <w:b/>
        </w:rPr>
        <w:t>Supplemental Study</w:t>
      </w:r>
    </w:p>
    <w:p w14:paraId="515396CA" w14:textId="001ED5F1" w:rsidR="00701B5F" w:rsidRDefault="00701B5F" w:rsidP="00701B5F">
      <w:pPr>
        <w:spacing w:line="480" w:lineRule="auto"/>
        <w:ind w:firstLine="720"/>
      </w:pPr>
      <w:r>
        <w:t>We</w:t>
      </w:r>
      <w:r w:rsidRPr="009542FE">
        <w:t xml:space="preserve"> </w:t>
      </w:r>
      <w:r>
        <w:t xml:space="preserve">planned to </w:t>
      </w:r>
      <w:r w:rsidRPr="009542FE">
        <w:t xml:space="preserve">have </w:t>
      </w:r>
      <w:r>
        <w:t xml:space="preserve">both </w:t>
      </w:r>
      <w:r w:rsidRPr="009542FE">
        <w:t>drink condition (alcohol vs. non-alcohol)</w:t>
      </w:r>
      <w:r>
        <w:t xml:space="preserve"> and image set</w:t>
      </w:r>
      <w:r w:rsidRPr="009542FE">
        <w:t xml:space="preserve"> randomized and counterba</w:t>
      </w:r>
      <w:r>
        <w:t>lanced across sessions 1 and 2.  Unfortunately, once 36 participants’ data had been collected, we realized</w:t>
      </w:r>
      <w:r w:rsidRPr="009542FE">
        <w:t xml:space="preserve"> that </w:t>
      </w:r>
      <w:r>
        <w:t>the</w:t>
      </w:r>
      <w:r w:rsidRPr="009542FE">
        <w:t xml:space="preserve"> randomization for these two factors (drink condition and image set) was the same, such that </w:t>
      </w:r>
      <w:r>
        <w:t xml:space="preserve">image set 1 was presented </w:t>
      </w:r>
      <w:r w:rsidRPr="009542FE">
        <w:t xml:space="preserve">on each alcohol session and </w:t>
      </w:r>
      <w:r>
        <w:t xml:space="preserve">image set 2 was presented </w:t>
      </w:r>
      <w:r w:rsidRPr="009542FE">
        <w:t xml:space="preserve">on each control session. </w:t>
      </w:r>
      <w:r>
        <w:t xml:space="preserve"> </w:t>
      </w:r>
      <w:r w:rsidR="00F409C0">
        <w:t>W</w:t>
      </w:r>
      <w:r>
        <w:t>e planned to present inverse pairings (image set 2 on the alcohol session and image set 1 on the control sessions) for the final 20 participants from whom we</w:t>
      </w:r>
      <w:r w:rsidR="00AC6272">
        <w:t xml:space="preserve"> had intended to collect data. </w:t>
      </w:r>
      <w:r>
        <w:t xml:space="preserve">Due to Covid-19, however, </w:t>
      </w:r>
      <w:r>
        <w:rPr>
          <w:color w:val="000000" w:themeColor="text1"/>
        </w:rPr>
        <w:t xml:space="preserve">all nonessential research activities at the University of Pittsburgh were mandatorily suspended </w:t>
      </w:r>
      <w:r>
        <w:rPr>
          <w:color w:val="000000" w:themeColor="text1"/>
        </w:rPr>
        <w:fldChar w:fldCharType="begin"/>
      </w:r>
      <w:r w:rsidR="00866045">
        <w:rPr>
          <w:color w:val="000000" w:themeColor="text1"/>
        </w:rPr>
        <w:instrText xml:space="preserve"> ADDIN ZOTERO_ITEM CSL_CITATION {"citationID":"pEzwn4nE","properties":{"formattedCitation":"(Rutenbar et al., 2020)","plainCitation":"(Rutenbar et al., 2020)","noteIndex":0},"citationItems":[{"id":2100,"uris":["http://zotero.org/users/2141794/items/9EJGDG37"],"itemData":{"id":2100,"type":"webpage","container-title":"Pitt Research","title":"COVID-19: Reduction in Research Operations","URL":"https://www.svcresearch.pitt.edu/covid-19-reduction-research-operations","author":[{"family":"Rutenbar","given":"R. A."},{"family":"Cudd","given":"A. E."},{"family":"Levine","given":"A. S."}],"issued":{"date-parts":[["2020",3]]}}}],"schema":"https://github.com/citation-style-language/schema/raw/master/csl-citation.json"} </w:instrText>
      </w:r>
      <w:r>
        <w:rPr>
          <w:color w:val="000000" w:themeColor="text1"/>
        </w:rPr>
        <w:fldChar w:fldCharType="separate"/>
      </w:r>
      <w:r>
        <w:rPr>
          <w:rFonts w:eastAsia="Times New Roman"/>
          <w:color w:val="000000"/>
        </w:rPr>
        <w:t>(Rutenbar et al., 2020)</w:t>
      </w:r>
      <w:r>
        <w:rPr>
          <w:color w:val="000000" w:themeColor="text1"/>
        </w:rPr>
        <w:fldChar w:fldCharType="end"/>
      </w:r>
      <w:r>
        <w:rPr>
          <w:color w:val="000000" w:themeColor="text1"/>
        </w:rPr>
        <w:t xml:space="preserve"> and the final 20 participants’ data could not be collected. </w:t>
      </w:r>
      <w:r>
        <w:t xml:space="preserve"> Consequently, it was necessary to consider other approaches to disentangle </w:t>
      </w:r>
      <w:r w:rsidRPr="009542FE">
        <w:t xml:space="preserve">an effect of </w:t>
      </w:r>
      <w:r>
        <w:t>drink condition</w:t>
      </w:r>
      <w:r w:rsidRPr="009542FE">
        <w:t xml:space="preserve"> from an effect of the image set. </w:t>
      </w:r>
      <w:r>
        <w:t xml:space="preserve"> That is, although an alcohol effect was not observed in the main study, it was possible that if image set 1 were simply less attractive than image set 2, a positive effect of alcohol would have been masked in the a</w:t>
      </w:r>
      <w:r w:rsidR="00866045">
        <w:t>nalyses reported above.  Thus, we</w:t>
      </w:r>
      <w:r>
        <w:t xml:space="preserve"> conducted a supplemental study with new participants (</w:t>
      </w:r>
      <w:r w:rsidRPr="004B1873">
        <w:rPr>
          <w:i/>
        </w:rPr>
        <w:t>n</w:t>
      </w:r>
      <w:r>
        <w:t xml:space="preserve"> = 34) via an online platform, to assess differences in attractiveness ratings between the two image sets and to facilitate clearer interpretation of results from the main study. </w:t>
      </w:r>
    </w:p>
    <w:p w14:paraId="0ECCAB03" w14:textId="77777777" w:rsidR="00701B5F" w:rsidRDefault="00701B5F" w:rsidP="00701B5F">
      <w:pPr>
        <w:spacing w:line="480" w:lineRule="auto"/>
        <w:rPr>
          <w:i/>
        </w:rPr>
      </w:pPr>
      <w:r>
        <w:rPr>
          <w:b/>
        </w:rPr>
        <w:t>Supplemental Study Aim</w:t>
      </w:r>
      <w:r w:rsidRPr="00820432">
        <w:rPr>
          <w:i/>
        </w:rPr>
        <w:t xml:space="preserve"> </w:t>
      </w:r>
    </w:p>
    <w:p w14:paraId="5CC94D95" w14:textId="37644B2D" w:rsidR="00701B5F" w:rsidRDefault="00701B5F" w:rsidP="00701B5F">
      <w:pPr>
        <w:spacing w:line="480" w:lineRule="auto"/>
        <w:ind w:firstLine="720"/>
      </w:pPr>
      <w:r w:rsidRPr="00820432">
        <w:t>T</w:t>
      </w:r>
      <w:r>
        <w:t>he aim of the supplementary study was to</w:t>
      </w:r>
      <w:r w:rsidRPr="00820432">
        <w:t xml:space="preserve"> examine the </w:t>
      </w:r>
      <w:r>
        <w:t>effect of image set on PPA.</w:t>
      </w:r>
    </w:p>
    <w:p w14:paraId="31B22F83" w14:textId="77777777" w:rsidR="00701B5F" w:rsidRPr="00820432" w:rsidRDefault="00701B5F" w:rsidP="00701B5F">
      <w:pPr>
        <w:spacing w:line="480" w:lineRule="auto"/>
        <w:rPr>
          <w:b/>
        </w:rPr>
      </w:pPr>
      <w:r w:rsidRPr="00820432">
        <w:rPr>
          <w:b/>
        </w:rPr>
        <w:t>Method</w:t>
      </w:r>
    </w:p>
    <w:p w14:paraId="1BD57B06" w14:textId="77777777" w:rsidR="00950102" w:rsidRDefault="00701B5F" w:rsidP="00950102">
      <w:pPr>
        <w:spacing w:line="480" w:lineRule="auto"/>
        <w:outlineLvl w:val="0"/>
      </w:pPr>
      <w:r w:rsidRPr="00950102">
        <w:rPr>
          <w:b/>
          <w:i/>
        </w:rPr>
        <w:t>Participants</w:t>
      </w:r>
      <w:r>
        <w:rPr>
          <w:b/>
        </w:rPr>
        <w:t xml:space="preserve"> </w:t>
      </w:r>
    </w:p>
    <w:p w14:paraId="67DD6520" w14:textId="77777777" w:rsidR="00701B5F" w:rsidRPr="004B1873" w:rsidRDefault="00701B5F" w:rsidP="00950102">
      <w:pPr>
        <w:spacing w:line="480" w:lineRule="auto"/>
        <w:ind w:firstLine="720"/>
        <w:outlineLvl w:val="0"/>
        <w:rPr>
          <w:b/>
        </w:rPr>
      </w:pPr>
      <w:r>
        <w:t>Participants were recruited v</w:t>
      </w:r>
      <w:r w:rsidRPr="004F3BA4">
        <w:t>ia an online participant r</w:t>
      </w:r>
      <w:r>
        <w:t xml:space="preserve">ecruitment platform, Prolific </w:t>
      </w:r>
      <w:r w:rsidRPr="004F3BA4">
        <w:t>(</w:t>
      </w:r>
      <w:hyperlink r:id="rId6" w:history="1">
        <w:r w:rsidRPr="00FE3CDD">
          <w:rPr>
            <w:rStyle w:val="Hyperlink"/>
          </w:rPr>
          <w:t>www.prolific.co</w:t>
        </w:r>
      </w:hyperlink>
      <w:r w:rsidRPr="00C17744">
        <w:t xml:space="preserve">; </w:t>
      </w:r>
      <w:r>
        <w:t xml:space="preserve">last accessed 6/1/2020).  </w:t>
      </w:r>
      <w:r>
        <w:rPr>
          <w:color w:val="000000" w:themeColor="text1"/>
        </w:rPr>
        <w:t>T</w:t>
      </w:r>
      <w:r w:rsidRPr="00944156">
        <w:rPr>
          <w:color w:val="000000" w:themeColor="text1"/>
        </w:rPr>
        <w:t xml:space="preserve">o </w:t>
      </w:r>
      <w:r>
        <w:rPr>
          <w:color w:val="000000" w:themeColor="text1"/>
        </w:rPr>
        <w:t xml:space="preserve">ensure consistency with the main study, eligible </w:t>
      </w:r>
      <w:r w:rsidRPr="00944156">
        <w:rPr>
          <w:color w:val="000000" w:themeColor="text1"/>
        </w:rPr>
        <w:lastRenderedPageBreak/>
        <w:t xml:space="preserve">participants </w:t>
      </w:r>
      <w:r>
        <w:rPr>
          <w:color w:val="000000" w:themeColor="text1"/>
        </w:rPr>
        <w:t xml:space="preserve">had to be male, </w:t>
      </w:r>
      <w:r w:rsidRPr="00944156">
        <w:rPr>
          <w:color w:val="000000" w:themeColor="text1"/>
        </w:rPr>
        <w:t>between the ages of 21–28</w:t>
      </w:r>
      <w:r>
        <w:rPr>
          <w:color w:val="000000" w:themeColor="text1"/>
        </w:rPr>
        <w:t>, report English fluency, and deny having uncorrected visual impairment.  Participants also were required to complete the survey on a desktop, laptop, or tablet, as survey formatting wa</w:t>
      </w:r>
      <w:r w:rsidRPr="00DD178F">
        <w:rPr>
          <w:color w:val="000000" w:themeColor="text1"/>
        </w:rPr>
        <w:t xml:space="preserve">s not compliant with </w:t>
      </w:r>
      <w:r>
        <w:rPr>
          <w:color w:val="000000" w:themeColor="text1"/>
        </w:rPr>
        <w:t xml:space="preserve">phones.  Participants were </w:t>
      </w:r>
      <w:r>
        <w:t>pre</w:t>
      </w:r>
      <w:r w:rsidRPr="001F0004">
        <w:t>screened automatically via Prolific.co, which requests users enter basic demographic information.</w:t>
      </w:r>
    </w:p>
    <w:p w14:paraId="337D758F" w14:textId="77777777" w:rsidR="00950102" w:rsidRPr="00950102" w:rsidRDefault="00701B5F" w:rsidP="00950102">
      <w:pPr>
        <w:autoSpaceDE w:val="0"/>
        <w:adjustRightInd w:val="0"/>
        <w:spacing w:line="480" w:lineRule="auto"/>
        <w:outlineLvl w:val="0"/>
        <w:rPr>
          <w:b/>
          <w:i/>
        </w:rPr>
      </w:pPr>
      <w:r w:rsidRPr="00950102">
        <w:rPr>
          <w:b/>
          <w:i/>
        </w:rPr>
        <w:t xml:space="preserve">Procedure </w:t>
      </w:r>
    </w:p>
    <w:p w14:paraId="6F13CF3B" w14:textId="77777777" w:rsidR="00701B5F" w:rsidRPr="000D50C3" w:rsidRDefault="00701B5F" w:rsidP="00950102">
      <w:pPr>
        <w:autoSpaceDE w:val="0"/>
        <w:adjustRightInd w:val="0"/>
        <w:spacing w:line="480" w:lineRule="auto"/>
        <w:ind w:firstLine="720"/>
        <w:outlineLvl w:val="0"/>
        <w:rPr>
          <w:b/>
        </w:rPr>
      </w:pPr>
      <w:r>
        <w:rPr>
          <w:color w:val="000000" w:themeColor="text1"/>
        </w:rPr>
        <w:t xml:space="preserve">Participants </w:t>
      </w:r>
      <w:r w:rsidR="00F409C0">
        <w:rPr>
          <w:color w:val="000000" w:themeColor="text1"/>
        </w:rPr>
        <w:t>(</w:t>
      </w:r>
      <w:r w:rsidR="00F409C0">
        <w:rPr>
          <w:i/>
          <w:color w:val="000000" w:themeColor="text1"/>
        </w:rPr>
        <w:t>n</w:t>
      </w:r>
      <w:r w:rsidR="00F409C0">
        <w:rPr>
          <w:color w:val="000000" w:themeColor="text1"/>
        </w:rPr>
        <w:t xml:space="preserve"> = 34) </w:t>
      </w:r>
      <w:r>
        <w:rPr>
          <w:color w:val="000000" w:themeColor="text1"/>
        </w:rPr>
        <w:t xml:space="preserve">who were deemed eligible via Prolific screening tools were directed to the PPA survey hosted on </w:t>
      </w:r>
      <w:proofErr w:type="spellStart"/>
      <w:r>
        <w:rPr>
          <w:color w:val="000000" w:themeColor="text1"/>
        </w:rPr>
        <w:t>Qualtrics</w:t>
      </w:r>
      <w:proofErr w:type="spellEnd"/>
      <w:r>
        <w:rPr>
          <w:color w:val="000000" w:themeColor="text1"/>
        </w:rPr>
        <w:t xml:space="preserve"> (</w:t>
      </w:r>
      <w:r w:rsidRPr="00A10643">
        <w:rPr>
          <w:color w:val="000000" w:themeColor="text1"/>
        </w:rPr>
        <w:t>Provo, UT</w:t>
      </w:r>
      <w:r>
        <w:rPr>
          <w:color w:val="000000" w:themeColor="text1"/>
        </w:rPr>
        <w:t xml:space="preserve">).  </w:t>
      </w:r>
      <w:r w:rsidRPr="001F0004">
        <w:rPr>
          <w:color w:val="000000" w:themeColor="text1"/>
        </w:rPr>
        <w:t xml:space="preserve">The survey </w:t>
      </w:r>
      <w:r>
        <w:rPr>
          <w:color w:val="000000" w:themeColor="text1"/>
        </w:rPr>
        <w:t>bega</w:t>
      </w:r>
      <w:r w:rsidRPr="001F0004">
        <w:rPr>
          <w:color w:val="000000" w:themeColor="text1"/>
        </w:rPr>
        <w:t xml:space="preserve">n with </w:t>
      </w:r>
      <w:r>
        <w:rPr>
          <w:color w:val="000000" w:themeColor="text1"/>
        </w:rPr>
        <w:t xml:space="preserve">questions regarding </w:t>
      </w:r>
      <w:r w:rsidRPr="001F0004">
        <w:rPr>
          <w:color w:val="000000" w:themeColor="text1"/>
        </w:rPr>
        <w:t xml:space="preserve">basic demographic information, which </w:t>
      </w:r>
      <w:r>
        <w:rPr>
          <w:color w:val="000000" w:themeColor="text1"/>
        </w:rPr>
        <w:t>facilitated validation of participants’ response to the Prolific prescreen. Participants were</w:t>
      </w:r>
      <w:r w:rsidRPr="001F0004">
        <w:rPr>
          <w:color w:val="000000" w:themeColor="text1"/>
        </w:rPr>
        <w:t xml:space="preserve"> then </w:t>
      </w:r>
      <w:r>
        <w:rPr>
          <w:color w:val="000000" w:themeColor="text1"/>
        </w:rPr>
        <w:t xml:space="preserve">sequentially </w:t>
      </w:r>
      <w:r w:rsidRPr="001F0004">
        <w:rPr>
          <w:color w:val="000000" w:themeColor="text1"/>
        </w:rPr>
        <w:t>presented with the two images sets and asked to rate the attractiveness of each image</w:t>
      </w:r>
      <w:r>
        <w:rPr>
          <w:color w:val="000000" w:themeColor="text1"/>
        </w:rPr>
        <w:t xml:space="preserve"> within each set</w:t>
      </w:r>
      <w:r w:rsidRPr="001F0004">
        <w:rPr>
          <w:color w:val="000000" w:themeColor="text1"/>
        </w:rPr>
        <w:t>.</w:t>
      </w:r>
      <w:r>
        <w:rPr>
          <w:color w:val="000000" w:themeColor="text1"/>
        </w:rPr>
        <w:t xml:space="preserve">  To control for order effects, half the participants were presented with image set 1 followed by image set 2, while the other half were presented with image</w:t>
      </w:r>
      <w:r w:rsidR="00F409C0">
        <w:rPr>
          <w:color w:val="000000" w:themeColor="text1"/>
        </w:rPr>
        <w:t xml:space="preserve"> set 2 followed by image set 1.</w:t>
      </w:r>
      <w:r>
        <w:rPr>
          <w:color w:val="000000" w:themeColor="text1"/>
        </w:rPr>
        <w:t xml:space="preserve"> Once participants completed the survey, they were redirected to the Prolific website and were paid $7.50 for their survey completion. </w:t>
      </w:r>
    </w:p>
    <w:p w14:paraId="6601F3EE" w14:textId="77777777" w:rsidR="00701B5F" w:rsidRPr="00950102" w:rsidRDefault="00701B5F" w:rsidP="00950102">
      <w:pPr>
        <w:autoSpaceDE w:val="0"/>
        <w:adjustRightInd w:val="0"/>
        <w:spacing w:line="480" w:lineRule="auto"/>
        <w:outlineLvl w:val="0"/>
        <w:rPr>
          <w:b/>
          <w:i/>
        </w:rPr>
      </w:pPr>
      <w:r w:rsidRPr="00950102">
        <w:rPr>
          <w:b/>
          <w:i/>
        </w:rPr>
        <w:t>Materials</w:t>
      </w:r>
    </w:p>
    <w:p w14:paraId="73F7E812" w14:textId="77777777" w:rsidR="00701B5F" w:rsidRDefault="00701B5F" w:rsidP="00701B5F">
      <w:pPr>
        <w:spacing w:line="480" w:lineRule="auto"/>
        <w:ind w:firstLine="720"/>
        <w:outlineLvl w:val="0"/>
      </w:pPr>
      <w:r w:rsidRPr="00950102">
        <w:rPr>
          <w:b/>
        </w:rPr>
        <w:t>Attractiveness rating task.</w:t>
      </w:r>
      <w:r w:rsidRPr="00820432">
        <w:rPr>
          <w:b/>
        </w:rPr>
        <w:t xml:space="preserve"> </w:t>
      </w:r>
      <w:r w:rsidRPr="00820432">
        <w:t xml:space="preserve"> </w:t>
      </w:r>
      <w:r>
        <w:t xml:space="preserve">The attractiveness rating task and specific image sets were the same as those used in the main study. </w:t>
      </w:r>
    </w:p>
    <w:p w14:paraId="088EE8FD" w14:textId="77777777" w:rsidR="00701B5F" w:rsidRDefault="00701B5F" w:rsidP="00701B5F">
      <w:pPr>
        <w:spacing w:line="480" w:lineRule="auto"/>
        <w:ind w:firstLine="720"/>
        <w:outlineLvl w:val="0"/>
      </w:pPr>
      <w:r w:rsidRPr="00950102">
        <w:rPr>
          <w:b/>
          <w:i/>
        </w:rPr>
        <w:t>Attractiveness ratings.</w:t>
      </w:r>
      <w:r w:rsidRPr="00820432">
        <w:rPr>
          <w:b/>
          <w:i/>
        </w:rPr>
        <w:t xml:space="preserve"> </w:t>
      </w:r>
      <w:r>
        <w:rPr>
          <w:b/>
          <w:i/>
        </w:rPr>
        <w:t xml:space="preserve"> </w:t>
      </w:r>
      <w:r w:rsidRPr="00820432">
        <w:t xml:space="preserve">Ratings </w:t>
      </w:r>
      <w:r>
        <w:t>w</w:t>
      </w:r>
      <w:r w:rsidRPr="00820432">
        <w:t>e</w:t>
      </w:r>
      <w:r>
        <w:t>re</w:t>
      </w:r>
      <w:r w:rsidRPr="00820432">
        <w:t xml:space="preserve"> reported using a Likert scale of 1 (</w:t>
      </w:r>
      <w:r w:rsidRPr="00F409C0">
        <w:rPr>
          <w:i/>
        </w:rPr>
        <w:t>very unattractive</w:t>
      </w:r>
      <w:r w:rsidRPr="00820432">
        <w:t>) to 10 (</w:t>
      </w:r>
      <w:r w:rsidRPr="00F409C0">
        <w:rPr>
          <w:i/>
        </w:rPr>
        <w:t>very attractive</w:t>
      </w:r>
      <w:r w:rsidRPr="00820432">
        <w:t xml:space="preserve">).  </w:t>
      </w:r>
    </w:p>
    <w:p w14:paraId="6D8CDB7E" w14:textId="77777777" w:rsidR="00701B5F" w:rsidRDefault="00701B5F" w:rsidP="00701B5F">
      <w:pPr>
        <w:spacing w:line="480" w:lineRule="auto"/>
        <w:ind w:firstLine="720"/>
        <w:outlineLvl w:val="0"/>
      </w:pPr>
      <w:r w:rsidRPr="00950102">
        <w:rPr>
          <w:b/>
        </w:rPr>
        <w:t>Demographics.</w:t>
      </w:r>
      <w:r w:rsidRPr="000D50C3">
        <w:rPr>
          <w:b/>
          <w:i/>
        </w:rPr>
        <w:t xml:space="preserve"> </w:t>
      </w:r>
      <w:r w:rsidRPr="00820432">
        <w:rPr>
          <w:b/>
        </w:rPr>
        <w:t xml:space="preserve"> </w:t>
      </w:r>
      <w:r w:rsidRPr="00820432">
        <w:t>Participants report</w:t>
      </w:r>
      <w:r>
        <w:t>ed</w:t>
      </w:r>
      <w:r w:rsidRPr="00820432">
        <w:t xml:space="preserve"> their demographic information </w:t>
      </w:r>
      <w:r>
        <w:t>prior to the start of the rating task.</w:t>
      </w:r>
    </w:p>
    <w:p w14:paraId="4FCD69B5" w14:textId="77777777" w:rsidR="00950102" w:rsidRPr="00950102" w:rsidRDefault="00701B5F" w:rsidP="00950102">
      <w:pPr>
        <w:spacing w:line="480" w:lineRule="auto"/>
        <w:rPr>
          <w:b/>
          <w:i/>
        </w:rPr>
      </w:pPr>
      <w:r w:rsidRPr="00950102">
        <w:rPr>
          <w:b/>
          <w:i/>
        </w:rPr>
        <w:t xml:space="preserve">Analytic </w:t>
      </w:r>
      <w:r w:rsidR="00950102" w:rsidRPr="00950102">
        <w:rPr>
          <w:b/>
          <w:i/>
        </w:rPr>
        <w:t>P</w:t>
      </w:r>
      <w:r w:rsidRPr="00950102">
        <w:rPr>
          <w:b/>
          <w:i/>
        </w:rPr>
        <w:t xml:space="preserve">lan </w:t>
      </w:r>
    </w:p>
    <w:p w14:paraId="165D2531" w14:textId="7EE0AA40" w:rsidR="00701B5F" w:rsidRDefault="00701B5F" w:rsidP="00950102">
      <w:pPr>
        <w:spacing w:line="480" w:lineRule="auto"/>
        <w:ind w:firstLine="720"/>
      </w:pPr>
      <w:r>
        <w:t>The analytic strategy for the supplemental study mirrored that of the main stu</w:t>
      </w:r>
      <w:r w:rsidR="00866045">
        <w:t>dy with regard to software used</w:t>
      </w:r>
      <w:r>
        <w:t xml:space="preserve"> and model assumption assessments. The PPA variable had no error outliers, and good skewness (0.18) and kurtosis (-0.40)</w:t>
      </w:r>
      <w:r w:rsidR="00866045">
        <w:t xml:space="preserve"> </w:t>
      </w:r>
      <w:r w:rsidR="00866045">
        <w:fldChar w:fldCharType="begin"/>
      </w:r>
      <w:r w:rsidR="00866045">
        <w:instrText xml:space="preserve"> ADDIN ZOTERO_ITEM CSL_CITATION {"citationID":"9odBtd23","properties":{"formattedCitation":"(Kim, 2013; West et al., 1995)","plainCitation":"(Kim, 2013; West et al., 1995)","noteIndex":0},"citationItems":[{"id":2103,"uris":["http://zotero.org/users/2141794/items/SEE4EV7Q"],"itemData":{"id":2103,"type":"article-journal","container-title":"Restorative Dentistry &amp; Endodontics","DOI":"10.5395/rde.2013.38.1.52","ISSN":"2234-7658","issue":"1","journalAbbreviation":"Restor Dent Endod","note":"PMID: 23495371\nPMCID: PMC3591587","page":"52-54","source":"PubMed Central","title":"Statistical notes for clinical researchers: assessing normal distribution (2) using skewness and kurtosis","title-short":"Statistical notes for clinical researchers","volume":"38","author":[{"family":"Kim","given":"Hae-Young"}],"issued":{"date-parts":[["2013",2]]}}},{"id":2121,"uris":["http://zotero.org/users/2141794/items/DD9GKDX9"],"itemData":{"id":2121,"type":"article-journal","note":"publisher: Sage Publications, Inc","source":"Google Scholar","title":"Structural equation models with nonnormal variables: Problems and remedies.","title-short":"Structural equation models with nonnormal variables","author":[{"family":"West","given":"Stephen G."},{"family":"Finch","given":"John F."},{"family":"Curran","given":"Patrick J."}],"issued":{"date-parts":[["1995"]]}}}],"schema":"https://github.com/citation-style-language/schema/raw/master/csl-citation.json"} </w:instrText>
      </w:r>
      <w:r w:rsidR="00866045">
        <w:fldChar w:fldCharType="separate"/>
      </w:r>
      <w:r w:rsidR="00866045">
        <w:rPr>
          <w:noProof/>
        </w:rPr>
        <w:t>(Kim, 2013; West et al., 1995)</w:t>
      </w:r>
      <w:r w:rsidR="00866045">
        <w:fldChar w:fldCharType="end"/>
      </w:r>
      <w:r>
        <w:t xml:space="preserve">.  All PPA ratings of 10 were outliers based on the standard deviation analysis.  Analyses described below did not differ based on inclusion of outliers, thus, results are reported based on analyses in which outliers were retained.  </w:t>
      </w:r>
    </w:p>
    <w:p w14:paraId="0E687383" w14:textId="77777777" w:rsidR="00701B5F" w:rsidRPr="001E4233" w:rsidRDefault="00701B5F" w:rsidP="00701B5F">
      <w:pPr>
        <w:spacing w:line="480" w:lineRule="auto"/>
        <w:ind w:firstLine="720"/>
      </w:pPr>
      <w:r w:rsidRPr="00820432">
        <w:t xml:space="preserve">To examine the </w:t>
      </w:r>
      <w:r>
        <w:t>effect of image set on PPA</w:t>
      </w:r>
      <w:r w:rsidR="00F409C0">
        <w:t>,</w:t>
      </w:r>
      <w:r w:rsidRPr="003E1540">
        <w:t xml:space="preserve"> </w:t>
      </w:r>
      <w:r>
        <w:t xml:space="preserve">image set </w:t>
      </w:r>
      <w:r w:rsidR="00F409C0">
        <w:t xml:space="preserve">was entered </w:t>
      </w:r>
      <w:r w:rsidRPr="003E1540">
        <w:t>as a fixed effect</w:t>
      </w:r>
      <w:r w:rsidR="00F409C0">
        <w:t>. I</w:t>
      </w:r>
      <w:r w:rsidRPr="003E1540">
        <w:t xml:space="preserve">ntercepts for </w:t>
      </w:r>
      <w:r>
        <w:t>perceiver</w:t>
      </w:r>
      <w:r w:rsidRPr="003E1540">
        <w:t>s</w:t>
      </w:r>
      <w:r>
        <w:t xml:space="preserve"> nested within</w:t>
      </w:r>
      <w:r w:rsidRPr="003E1540">
        <w:t xml:space="preserve"> </w:t>
      </w:r>
      <w:r>
        <w:t xml:space="preserve">study versions (wherein study version represented the two possible orderings of the image sets) </w:t>
      </w:r>
      <w:r w:rsidRPr="003E1540">
        <w:t>and targets</w:t>
      </w:r>
      <w:r w:rsidR="00F409C0">
        <w:t xml:space="preserve"> were entered</w:t>
      </w:r>
      <w:r w:rsidRPr="003E1540">
        <w:t xml:space="preserve"> as random effects, to account for non-independence of responses within each grouping.</w:t>
      </w:r>
      <w:r>
        <w:t xml:space="preserve">  </w:t>
      </w:r>
      <w:r w:rsidRPr="003E1540">
        <w:t xml:space="preserve">A likelihood ratio test </w:t>
      </w:r>
      <w:r>
        <w:t>was</w:t>
      </w:r>
      <w:r w:rsidRPr="003E1540">
        <w:t xml:space="preserve"> used to compare the full model with the main effect </w:t>
      </w:r>
      <w:r>
        <w:t>of image set</w:t>
      </w:r>
      <w:r w:rsidRPr="003E1540">
        <w:t xml:space="preserve"> against a model with the effect </w:t>
      </w:r>
      <w:r>
        <w:t xml:space="preserve">of image set </w:t>
      </w:r>
      <w:r w:rsidRPr="003E1540">
        <w:t>removed.</w:t>
      </w:r>
      <w:r>
        <w:t xml:space="preserve"> </w:t>
      </w:r>
      <w:r w:rsidRPr="003E1540">
        <w:t xml:space="preserve"> The </w:t>
      </w:r>
      <w:r w:rsidRPr="00B80A0D">
        <w:rPr>
          <w:i/>
        </w:rPr>
        <w:t>p</w:t>
      </w:r>
      <w:r w:rsidRPr="003E1540">
        <w:t xml:space="preserve">-value </w:t>
      </w:r>
      <w:r w:rsidRPr="003227A1">
        <w:t>yielded by the</w:t>
      </w:r>
      <w:r w:rsidRPr="003E1540">
        <w:t xml:space="preserve"> model comparison </w:t>
      </w:r>
      <w:r>
        <w:t>was</w:t>
      </w:r>
      <w:r w:rsidRPr="003E1540">
        <w:t xml:space="preserve"> assessed to determine if the effect of </w:t>
      </w:r>
      <w:r>
        <w:t>image set</w:t>
      </w:r>
      <w:r w:rsidRPr="003E1540">
        <w:t xml:space="preserve"> </w:t>
      </w:r>
      <w:r>
        <w:t>wa</w:t>
      </w:r>
      <w:r w:rsidRPr="003E1540">
        <w:t>s significant.</w:t>
      </w:r>
      <w:r>
        <w:t xml:space="preserve">  </w:t>
      </w:r>
    </w:p>
    <w:p w14:paraId="58243098" w14:textId="77777777" w:rsidR="00701B5F" w:rsidRDefault="00701B5F" w:rsidP="00701B5F">
      <w:pPr>
        <w:spacing w:line="480" w:lineRule="auto"/>
        <w:rPr>
          <w:b/>
        </w:rPr>
      </w:pPr>
      <w:r w:rsidRPr="001E4233">
        <w:rPr>
          <w:b/>
        </w:rPr>
        <w:t>Result</w:t>
      </w:r>
      <w:r w:rsidRPr="005D19D4">
        <w:rPr>
          <w:b/>
        </w:rPr>
        <w:t>s</w:t>
      </w:r>
      <w:r>
        <w:rPr>
          <w:b/>
        </w:rPr>
        <w:t xml:space="preserve"> and Discussion</w:t>
      </w:r>
    </w:p>
    <w:p w14:paraId="7F692669" w14:textId="77777777" w:rsidR="00950102" w:rsidRDefault="00950102" w:rsidP="00950102">
      <w:pPr>
        <w:spacing w:line="480" w:lineRule="auto"/>
      </w:pPr>
      <w:r w:rsidRPr="00950102">
        <w:rPr>
          <w:b/>
          <w:i/>
        </w:rPr>
        <w:t>Participants</w:t>
      </w:r>
      <w:r w:rsidR="00701B5F">
        <w:rPr>
          <w:b/>
        </w:rPr>
        <w:t xml:space="preserve"> </w:t>
      </w:r>
    </w:p>
    <w:p w14:paraId="7FF37942" w14:textId="77777777" w:rsidR="00701B5F" w:rsidRDefault="00701B5F" w:rsidP="00950102">
      <w:pPr>
        <w:spacing w:line="480" w:lineRule="auto"/>
        <w:ind w:firstLine="720"/>
      </w:pPr>
      <w:r>
        <w:t>The supplementary study sample consisted of 34 eligible participants.</w:t>
      </w:r>
      <w:r w:rsidR="00950102" w:rsidRPr="00DD73A1">
        <w:t xml:space="preserve"> </w:t>
      </w:r>
      <w:r w:rsidRPr="00DD73A1">
        <w:t>Participants’</w:t>
      </w:r>
      <w:r w:rsidRPr="001E4233">
        <w:t xml:space="preserve"> ages ranged from 21-28 (mean = 23.24, </w:t>
      </w:r>
      <w:proofErr w:type="spellStart"/>
      <w:r w:rsidRPr="001E4233">
        <w:t>sd</w:t>
      </w:r>
      <w:proofErr w:type="spellEnd"/>
      <w:r w:rsidRPr="001E4233">
        <w:t xml:space="preserve"> = 1.96</w:t>
      </w:r>
      <w:r w:rsidRPr="008A18E0">
        <w:t>).</w:t>
      </w:r>
      <w:r w:rsidRPr="001E4233">
        <w:t xml:space="preserve">  T</w:t>
      </w:r>
      <w:r w:rsidRPr="008A18E0">
        <w:t xml:space="preserve">he majority of participants were </w:t>
      </w:r>
      <w:r>
        <w:t>W</w:t>
      </w:r>
      <w:r w:rsidRPr="008A18E0">
        <w:t>hite (</w:t>
      </w:r>
      <w:r w:rsidRPr="001E4233">
        <w:t>n = 26 White, 2</w:t>
      </w:r>
      <w:r w:rsidRPr="008A18E0">
        <w:t xml:space="preserve"> Asian, 2 </w:t>
      </w:r>
      <w:r w:rsidRPr="001E4233">
        <w:t>Black, 4 more than one race) and</w:t>
      </w:r>
      <w:r w:rsidRPr="008A18E0">
        <w:t xml:space="preserve"> heterosexual (</w:t>
      </w:r>
      <w:r w:rsidRPr="001E4233">
        <w:t>27</w:t>
      </w:r>
      <w:r w:rsidRPr="008A18E0">
        <w:t xml:space="preserve"> heterosexual, </w:t>
      </w:r>
      <w:r w:rsidRPr="001E4233">
        <w:t>7</w:t>
      </w:r>
      <w:r w:rsidRPr="008A18E0">
        <w:t xml:space="preserve"> bisexual).</w:t>
      </w:r>
      <w:r>
        <w:t xml:space="preserve"> </w:t>
      </w:r>
    </w:p>
    <w:p w14:paraId="3A7FE791" w14:textId="77777777" w:rsidR="00950102" w:rsidRPr="00950102" w:rsidRDefault="00701B5F" w:rsidP="00950102">
      <w:pPr>
        <w:spacing w:line="480" w:lineRule="auto"/>
        <w:rPr>
          <w:b/>
          <w:i/>
        </w:rPr>
      </w:pPr>
      <w:r w:rsidRPr="00950102">
        <w:rPr>
          <w:b/>
          <w:i/>
        </w:rPr>
        <w:t xml:space="preserve">Supplemental </w:t>
      </w:r>
      <w:r w:rsidR="00950102">
        <w:rPr>
          <w:b/>
          <w:i/>
        </w:rPr>
        <w:t>S</w:t>
      </w:r>
      <w:r w:rsidRPr="00950102">
        <w:rPr>
          <w:b/>
          <w:i/>
        </w:rPr>
        <w:t xml:space="preserve">tudy </w:t>
      </w:r>
      <w:r w:rsidR="00950102">
        <w:rPr>
          <w:b/>
          <w:i/>
        </w:rPr>
        <w:t>A</w:t>
      </w:r>
      <w:r w:rsidR="00950102" w:rsidRPr="00950102">
        <w:rPr>
          <w:b/>
          <w:i/>
        </w:rPr>
        <w:t>im</w:t>
      </w:r>
    </w:p>
    <w:p w14:paraId="57E372A0" w14:textId="583765C4" w:rsidR="00701B5F" w:rsidRDefault="00866045" w:rsidP="00701B5F">
      <w:pPr>
        <w:spacing w:line="480" w:lineRule="auto"/>
        <w:ind w:firstLine="720"/>
        <w:sectPr w:rsidR="00701B5F" w:rsidSect="00B52076">
          <w:headerReference w:type="default" r:id="rId7"/>
          <w:pgSz w:w="12240" w:h="15840"/>
          <w:pgMar w:top="1440" w:right="1440" w:bottom="1440" w:left="1440" w:header="720" w:footer="720" w:gutter="0"/>
          <w:cols w:space="720"/>
          <w:docGrid w:linePitch="360"/>
        </w:sectPr>
      </w:pPr>
      <w:r>
        <w:t>I</w:t>
      </w:r>
      <w:r w:rsidR="00701B5F" w:rsidRPr="001E4233">
        <w:t>mage set</w:t>
      </w:r>
      <w:r w:rsidR="00701B5F" w:rsidRPr="00B27A3E">
        <w:t xml:space="preserve"> did not significantly affect PPA [</w:t>
      </w:r>
      <w:r w:rsidR="00701B5F" w:rsidRPr="00B27A3E">
        <w:rPr>
          <w:i/>
          <w:iCs/>
        </w:rPr>
        <w:t>X</w:t>
      </w:r>
      <w:r w:rsidR="00701B5F" w:rsidRPr="00B27A3E">
        <w:rPr>
          <w:vertAlign w:val="superscript"/>
        </w:rPr>
        <w:t>2</w:t>
      </w:r>
      <w:r w:rsidR="00701B5F" w:rsidRPr="00B27A3E">
        <w:t> (1, </w:t>
      </w:r>
      <w:r w:rsidR="00701B5F" w:rsidRPr="00B27A3E">
        <w:rPr>
          <w:i/>
          <w:iCs/>
        </w:rPr>
        <w:t>N</w:t>
      </w:r>
      <w:r w:rsidR="00701B5F" w:rsidRPr="001E4233">
        <w:t> = 34</w:t>
      </w:r>
      <w:r w:rsidR="00701B5F" w:rsidRPr="00B27A3E">
        <w:t xml:space="preserve">) = </w:t>
      </w:r>
      <w:r w:rsidR="00701B5F" w:rsidRPr="001E4233">
        <w:t>0.41</w:t>
      </w:r>
      <w:r w:rsidR="00701B5F" w:rsidRPr="00B27A3E">
        <w:t xml:space="preserve">, </w:t>
      </w:r>
      <w:r w:rsidR="00701B5F" w:rsidRPr="00B27A3E">
        <w:rPr>
          <w:i/>
          <w:iCs/>
        </w:rPr>
        <w:t>p</w:t>
      </w:r>
      <w:r w:rsidR="00701B5F" w:rsidRPr="00B27A3E">
        <w:t> </w:t>
      </w:r>
      <w:r w:rsidR="00701B5F" w:rsidRPr="001E4233">
        <w:t>=.52</w:t>
      </w:r>
      <w:r w:rsidR="00701B5F" w:rsidRPr="00B27A3E">
        <w:t xml:space="preserve">].  The mean PPA among </w:t>
      </w:r>
      <w:r w:rsidR="00701B5F" w:rsidRPr="001E4233">
        <w:t>image set 1 was 4.61 (</w:t>
      </w:r>
      <w:proofErr w:type="spellStart"/>
      <w:r w:rsidR="00701B5F" w:rsidRPr="001E4233">
        <w:t>sd</w:t>
      </w:r>
      <w:proofErr w:type="spellEnd"/>
      <w:r w:rsidR="00701B5F" w:rsidRPr="001E4233">
        <w:t xml:space="preserve"> = 2.02) and the mean PPA among image set 2 was 4.43 (</w:t>
      </w:r>
      <w:proofErr w:type="spellStart"/>
      <w:r w:rsidR="00701B5F" w:rsidRPr="001E4233">
        <w:t>sd</w:t>
      </w:r>
      <w:proofErr w:type="spellEnd"/>
      <w:r w:rsidR="00701B5F" w:rsidRPr="001E4233">
        <w:t xml:space="preserve"> = 2.15</w:t>
      </w:r>
      <w:r w:rsidR="00701B5F">
        <w:t>).</w:t>
      </w:r>
      <w:r w:rsidR="00701B5F" w:rsidRPr="00B27A3E">
        <w:t xml:space="preserve"> </w:t>
      </w:r>
      <w:r>
        <w:t xml:space="preserve"> We</w:t>
      </w:r>
      <w:r w:rsidR="00701B5F">
        <w:t xml:space="preserve"> additionally tested the effect of study version to account for potential order effects.  While there was not a main effect of study version </w:t>
      </w:r>
      <w:r w:rsidR="00701B5F" w:rsidRPr="00B27A3E">
        <w:t>[</w:t>
      </w:r>
      <w:r w:rsidR="00701B5F" w:rsidRPr="00B27A3E">
        <w:rPr>
          <w:i/>
          <w:iCs/>
        </w:rPr>
        <w:t>X</w:t>
      </w:r>
      <w:r w:rsidR="00701B5F" w:rsidRPr="00B27A3E">
        <w:rPr>
          <w:vertAlign w:val="superscript"/>
        </w:rPr>
        <w:t>2</w:t>
      </w:r>
      <w:r w:rsidR="00701B5F" w:rsidRPr="00B27A3E">
        <w:t> (1, </w:t>
      </w:r>
      <w:r w:rsidR="00701B5F" w:rsidRPr="00B27A3E">
        <w:rPr>
          <w:i/>
          <w:iCs/>
        </w:rPr>
        <w:t>N</w:t>
      </w:r>
      <w:r w:rsidR="00701B5F" w:rsidRPr="007E3D29">
        <w:t> = 34</w:t>
      </w:r>
      <w:r w:rsidR="00701B5F" w:rsidRPr="00B27A3E">
        <w:t xml:space="preserve">) = </w:t>
      </w:r>
      <w:r w:rsidR="00701B5F">
        <w:t>3.04</w:t>
      </w:r>
      <w:r w:rsidR="00701B5F" w:rsidRPr="00B27A3E">
        <w:t xml:space="preserve">, </w:t>
      </w:r>
      <w:r w:rsidR="00701B5F" w:rsidRPr="00B27A3E">
        <w:rPr>
          <w:i/>
          <w:iCs/>
        </w:rPr>
        <w:t>p</w:t>
      </w:r>
      <w:r w:rsidR="00701B5F" w:rsidRPr="00B27A3E">
        <w:t> </w:t>
      </w:r>
      <w:r w:rsidR="00701B5F">
        <w:t>=.08</w:t>
      </w:r>
      <w:r w:rsidR="00701B5F" w:rsidRPr="00B27A3E">
        <w:t>]</w:t>
      </w:r>
      <w:r w:rsidR="00701B5F">
        <w:t xml:space="preserve">, the interaction between study version and image set significantly enhanced model fit </w:t>
      </w:r>
      <w:r w:rsidR="00701B5F" w:rsidRPr="00B27A3E">
        <w:t>[</w:t>
      </w:r>
      <w:r w:rsidR="00701B5F" w:rsidRPr="00B27A3E">
        <w:rPr>
          <w:i/>
          <w:iCs/>
        </w:rPr>
        <w:t>X</w:t>
      </w:r>
      <w:r w:rsidR="00701B5F" w:rsidRPr="00B27A3E">
        <w:rPr>
          <w:vertAlign w:val="superscript"/>
        </w:rPr>
        <w:t>2</w:t>
      </w:r>
      <w:r w:rsidR="00701B5F" w:rsidRPr="00B27A3E">
        <w:t> (1, </w:t>
      </w:r>
      <w:r w:rsidR="00701B5F" w:rsidRPr="00B27A3E">
        <w:rPr>
          <w:i/>
          <w:iCs/>
        </w:rPr>
        <w:t>N</w:t>
      </w:r>
      <w:r w:rsidR="00701B5F" w:rsidRPr="007E3D29">
        <w:t> = 34</w:t>
      </w:r>
      <w:r w:rsidR="00701B5F" w:rsidRPr="00B27A3E">
        <w:t xml:space="preserve">) = </w:t>
      </w:r>
      <w:r w:rsidR="00701B5F">
        <w:t>34.82</w:t>
      </w:r>
      <w:r w:rsidR="00701B5F" w:rsidRPr="00B27A3E">
        <w:t xml:space="preserve">, </w:t>
      </w:r>
      <w:r w:rsidR="00701B5F" w:rsidRPr="00B27A3E">
        <w:rPr>
          <w:i/>
          <w:iCs/>
        </w:rPr>
        <w:t>p</w:t>
      </w:r>
      <w:r w:rsidR="00701B5F" w:rsidRPr="00B27A3E">
        <w:t> </w:t>
      </w:r>
      <w:r w:rsidR="00701B5F">
        <w:t>&lt;.001</w:t>
      </w:r>
      <w:r w:rsidR="00701B5F" w:rsidRPr="00B27A3E">
        <w:t>]</w:t>
      </w:r>
      <w:r w:rsidR="00701B5F">
        <w:t xml:space="preserve">.  As seen in Supplemental Table 1, PPA ratings were comparable across image sets among participants who viewed image set 1 prior to image set two.  Most pertinent to the present research, the difference in PPA by image sets among participants rating image set 2 prior to image set 1 suggested a trend that would have made it </w:t>
      </w:r>
      <w:r w:rsidR="00701B5F">
        <w:rPr>
          <w:i/>
        </w:rPr>
        <w:t>more</w:t>
      </w:r>
      <w:r w:rsidR="00701B5F">
        <w:t xml:space="preserve"> likely to observe an effect of alcohol in the primary study (i.e., the image set rated in the alcohol condition received higher ratings than that rated in the non-alcohol condition in the primary study).</w:t>
      </w:r>
      <w:r w:rsidR="00701B5F" w:rsidRPr="00B27A3E">
        <w:t xml:space="preserve"> </w:t>
      </w:r>
      <w:r w:rsidR="00701B5F">
        <w:t xml:space="preserve"> Taken together, the data from this supplementary study suggest I can rule out the methodological explanation that a positive effect of alcohol on PPA in the primary study was simply masked by participants rating a less attractive image set on the alcohol session as compared to the control sessions.  That is, the null finding of alcohol on PPA in the main study cannot be explained due to unbalanced image sets.  </w:t>
      </w:r>
    </w:p>
    <w:p w14:paraId="0A94C226" w14:textId="77777777" w:rsidR="00AC6272" w:rsidRDefault="00701B5F" w:rsidP="00701B5F">
      <w:pPr>
        <w:spacing w:line="480" w:lineRule="auto"/>
      </w:pPr>
      <w:r>
        <w:t>Supplemental</w:t>
      </w:r>
      <w:r w:rsidR="00AC6272">
        <w:t xml:space="preserve"> Study</w:t>
      </w:r>
      <w:r>
        <w:t xml:space="preserve"> Table 1</w:t>
      </w:r>
    </w:p>
    <w:p w14:paraId="4BB152DE" w14:textId="07E8D1A6" w:rsidR="00701B5F" w:rsidRPr="00950102" w:rsidRDefault="00701B5F" w:rsidP="00701B5F">
      <w:pPr>
        <w:spacing w:line="480" w:lineRule="auto"/>
      </w:pPr>
      <w:bookmarkStart w:id="0" w:name="_GoBack"/>
      <w:bookmarkEnd w:id="0"/>
      <w:r w:rsidRPr="00701B5F">
        <w:rPr>
          <w:i/>
          <w:iCs/>
        </w:rPr>
        <w:t>Supplemental Study PPA ratings by Image Set and Study Version</w:t>
      </w:r>
    </w:p>
    <w:tbl>
      <w:tblPr>
        <w:tblStyle w:val="TableGrid"/>
        <w:tblW w:w="5000" w:type="pct"/>
        <w:tblCellMar>
          <w:left w:w="144" w:type="dxa"/>
          <w:right w:w="144" w:type="dxa"/>
        </w:tblCellMar>
        <w:tblLook w:val="04A0" w:firstRow="1" w:lastRow="0" w:firstColumn="1" w:lastColumn="0" w:noHBand="0" w:noVBand="1"/>
      </w:tblPr>
      <w:tblGrid>
        <w:gridCol w:w="4585"/>
        <w:gridCol w:w="2429"/>
        <w:gridCol w:w="2336"/>
      </w:tblGrid>
      <w:tr w:rsidR="00701B5F" w:rsidRPr="00701B5F" w14:paraId="57A0FE4D" w14:textId="77777777" w:rsidTr="00701B5F">
        <w:trPr>
          <w:trHeight w:val="432"/>
        </w:trPr>
        <w:tc>
          <w:tcPr>
            <w:tcW w:w="2452" w:type="pct"/>
            <w:tcBorders>
              <w:top w:val="single" w:sz="8" w:space="0" w:color="auto"/>
              <w:bottom w:val="single" w:sz="8" w:space="0" w:color="auto"/>
            </w:tcBorders>
            <w:vAlign w:val="center"/>
          </w:tcPr>
          <w:p w14:paraId="6CC4FA51" w14:textId="77777777" w:rsidR="00701B5F" w:rsidRPr="00701B5F" w:rsidRDefault="00701B5F" w:rsidP="005430FB">
            <w:pPr>
              <w:rPr>
                <w:b/>
                <w:sz w:val="24"/>
                <w:szCs w:val="24"/>
              </w:rPr>
            </w:pPr>
            <w:r w:rsidRPr="00701B5F">
              <w:rPr>
                <w:b/>
                <w:sz w:val="24"/>
                <w:szCs w:val="24"/>
              </w:rPr>
              <w:t>Study Version 1: Image set 1 Rated First</w:t>
            </w:r>
          </w:p>
        </w:tc>
        <w:tc>
          <w:tcPr>
            <w:tcW w:w="1299" w:type="pct"/>
            <w:tcBorders>
              <w:top w:val="single" w:sz="8" w:space="0" w:color="auto"/>
              <w:bottom w:val="single" w:sz="8" w:space="0" w:color="auto"/>
            </w:tcBorders>
            <w:vAlign w:val="center"/>
          </w:tcPr>
          <w:p w14:paraId="5BC3F64D" w14:textId="77777777" w:rsidR="00701B5F" w:rsidRPr="00701B5F" w:rsidRDefault="00701B5F" w:rsidP="005430FB">
            <w:pPr>
              <w:jc w:val="center"/>
              <w:rPr>
                <w:i/>
                <w:sz w:val="24"/>
                <w:szCs w:val="24"/>
              </w:rPr>
            </w:pPr>
            <w:r w:rsidRPr="00701B5F">
              <w:rPr>
                <w:i/>
                <w:sz w:val="24"/>
                <w:szCs w:val="24"/>
              </w:rPr>
              <w:t>Mean</w:t>
            </w:r>
          </w:p>
        </w:tc>
        <w:tc>
          <w:tcPr>
            <w:tcW w:w="1249" w:type="pct"/>
            <w:tcBorders>
              <w:top w:val="single" w:sz="8" w:space="0" w:color="auto"/>
              <w:bottom w:val="single" w:sz="8" w:space="0" w:color="auto"/>
            </w:tcBorders>
            <w:vAlign w:val="center"/>
          </w:tcPr>
          <w:p w14:paraId="07CCD200" w14:textId="77777777" w:rsidR="00701B5F" w:rsidRPr="00701B5F" w:rsidRDefault="00701B5F" w:rsidP="005430FB">
            <w:pPr>
              <w:jc w:val="center"/>
              <w:rPr>
                <w:i/>
                <w:sz w:val="24"/>
                <w:szCs w:val="24"/>
              </w:rPr>
            </w:pPr>
            <w:r w:rsidRPr="00701B5F">
              <w:rPr>
                <w:i/>
                <w:sz w:val="24"/>
                <w:szCs w:val="24"/>
              </w:rPr>
              <w:t>SD</w:t>
            </w:r>
          </w:p>
        </w:tc>
      </w:tr>
      <w:tr w:rsidR="00701B5F" w:rsidRPr="00701B5F" w14:paraId="15E8965C" w14:textId="77777777" w:rsidTr="00701B5F">
        <w:trPr>
          <w:trHeight w:val="432"/>
        </w:trPr>
        <w:tc>
          <w:tcPr>
            <w:tcW w:w="2452" w:type="pct"/>
            <w:tcBorders>
              <w:top w:val="single" w:sz="8" w:space="0" w:color="auto"/>
            </w:tcBorders>
            <w:vAlign w:val="center"/>
          </w:tcPr>
          <w:p w14:paraId="5648A192" w14:textId="77777777" w:rsidR="00701B5F" w:rsidRPr="00701B5F" w:rsidRDefault="00701B5F" w:rsidP="005430FB">
            <w:pPr>
              <w:rPr>
                <w:sz w:val="24"/>
                <w:szCs w:val="24"/>
              </w:rPr>
            </w:pPr>
            <w:r w:rsidRPr="00701B5F">
              <w:rPr>
                <w:sz w:val="24"/>
                <w:szCs w:val="24"/>
              </w:rPr>
              <w:t>Image Set 1</w:t>
            </w:r>
          </w:p>
        </w:tc>
        <w:tc>
          <w:tcPr>
            <w:tcW w:w="1299" w:type="pct"/>
            <w:tcBorders>
              <w:top w:val="single" w:sz="8" w:space="0" w:color="auto"/>
            </w:tcBorders>
            <w:vAlign w:val="center"/>
          </w:tcPr>
          <w:p w14:paraId="3B6B3076" w14:textId="77777777" w:rsidR="00701B5F" w:rsidRPr="00701B5F" w:rsidRDefault="00701B5F" w:rsidP="005430FB">
            <w:pPr>
              <w:jc w:val="center"/>
              <w:rPr>
                <w:sz w:val="24"/>
                <w:szCs w:val="24"/>
              </w:rPr>
            </w:pPr>
            <w:r w:rsidRPr="00701B5F">
              <w:rPr>
                <w:sz w:val="24"/>
                <w:szCs w:val="24"/>
              </w:rPr>
              <w:t>4.86</w:t>
            </w:r>
          </w:p>
        </w:tc>
        <w:tc>
          <w:tcPr>
            <w:tcW w:w="1249" w:type="pct"/>
            <w:tcBorders>
              <w:top w:val="single" w:sz="8" w:space="0" w:color="auto"/>
            </w:tcBorders>
            <w:vAlign w:val="center"/>
          </w:tcPr>
          <w:p w14:paraId="1A2EF137" w14:textId="77777777" w:rsidR="00701B5F" w:rsidRPr="00701B5F" w:rsidRDefault="00701B5F" w:rsidP="005430FB">
            <w:pPr>
              <w:jc w:val="center"/>
              <w:rPr>
                <w:color w:val="000000" w:themeColor="text1"/>
                <w:sz w:val="24"/>
                <w:szCs w:val="24"/>
              </w:rPr>
            </w:pPr>
            <w:r w:rsidRPr="00701B5F">
              <w:rPr>
                <w:sz w:val="24"/>
                <w:szCs w:val="24"/>
              </w:rPr>
              <w:t>2.24</w:t>
            </w:r>
          </w:p>
        </w:tc>
      </w:tr>
      <w:tr w:rsidR="00701B5F" w:rsidRPr="00701B5F" w14:paraId="5190FDED" w14:textId="77777777" w:rsidTr="00701B5F">
        <w:trPr>
          <w:trHeight w:val="432"/>
        </w:trPr>
        <w:tc>
          <w:tcPr>
            <w:tcW w:w="2452" w:type="pct"/>
            <w:vAlign w:val="center"/>
          </w:tcPr>
          <w:p w14:paraId="16DD16EC" w14:textId="77777777" w:rsidR="00701B5F" w:rsidRPr="00701B5F" w:rsidRDefault="00701B5F" w:rsidP="005430FB">
            <w:pPr>
              <w:rPr>
                <w:sz w:val="24"/>
                <w:szCs w:val="24"/>
              </w:rPr>
            </w:pPr>
            <w:r w:rsidRPr="00701B5F">
              <w:rPr>
                <w:sz w:val="24"/>
                <w:szCs w:val="24"/>
              </w:rPr>
              <w:t>Image Set 2</w:t>
            </w:r>
          </w:p>
        </w:tc>
        <w:tc>
          <w:tcPr>
            <w:tcW w:w="1299" w:type="pct"/>
            <w:vAlign w:val="center"/>
          </w:tcPr>
          <w:p w14:paraId="3AC52ADC" w14:textId="77777777" w:rsidR="00701B5F" w:rsidRPr="00701B5F" w:rsidRDefault="00701B5F" w:rsidP="005430FB">
            <w:pPr>
              <w:jc w:val="center"/>
              <w:rPr>
                <w:sz w:val="24"/>
                <w:szCs w:val="24"/>
              </w:rPr>
            </w:pPr>
            <w:r w:rsidRPr="00701B5F">
              <w:rPr>
                <w:sz w:val="24"/>
                <w:szCs w:val="24"/>
              </w:rPr>
              <w:t>4.94</w:t>
            </w:r>
          </w:p>
        </w:tc>
        <w:tc>
          <w:tcPr>
            <w:tcW w:w="1249" w:type="pct"/>
            <w:vAlign w:val="center"/>
          </w:tcPr>
          <w:p w14:paraId="390A0C92" w14:textId="77777777" w:rsidR="00701B5F" w:rsidRPr="00701B5F" w:rsidRDefault="00701B5F" w:rsidP="005430FB">
            <w:pPr>
              <w:jc w:val="center"/>
              <w:rPr>
                <w:color w:val="000000" w:themeColor="text1"/>
                <w:sz w:val="24"/>
                <w:szCs w:val="24"/>
              </w:rPr>
            </w:pPr>
            <w:r w:rsidRPr="00701B5F">
              <w:rPr>
                <w:sz w:val="24"/>
                <w:szCs w:val="24"/>
              </w:rPr>
              <w:t>2.32</w:t>
            </w:r>
          </w:p>
        </w:tc>
      </w:tr>
      <w:tr w:rsidR="00701B5F" w:rsidRPr="00701B5F" w14:paraId="5D645D83" w14:textId="77777777" w:rsidTr="00701B5F">
        <w:trPr>
          <w:trHeight w:val="152"/>
        </w:trPr>
        <w:tc>
          <w:tcPr>
            <w:tcW w:w="2452" w:type="pct"/>
            <w:vAlign w:val="center"/>
          </w:tcPr>
          <w:p w14:paraId="426A527A" w14:textId="77777777" w:rsidR="00701B5F" w:rsidRPr="00701B5F" w:rsidRDefault="00701B5F" w:rsidP="005430FB">
            <w:pPr>
              <w:rPr>
                <w:b/>
                <w:sz w:val="24"/>
                <w:szCs w:val="24"/>
              </w:rPr>
            </w:pPr>
          </w:p>
        </w:tc>
        <w:tc>
          <w:tcPr>
            <w:tcW w:w="1299" w:type="pct"/>
            <w:vAlign w:val="center"/>
          </w:tcPr>
          <w:p w14:paraId="03EAE2F2" w14:textId="77777777" w:rsidR="00701B5F" w:rsidRPr="00701B5F" w:rsidRDefault="00701B5F" w:rsidP="005430FB">
            <w:pPr>
              <w:jc w:val="center"/>
              <w:rPr>
                <w:sz w:val="24"/>
                <w:szCs w:val="24"/>
              </w:rPr>
            </w:pPr>
          </w:p>
        </w:tc>
        <w:tc>
          <w:tcPr>
            <w:tcW w:w="1249" w:type="pct"/>
            <w:vAlign w:val="center"/>
          </w:tcPr>
          <w:p w14:paraId="65112279" w14:textId="77777777" w:rsidR="00701B5F" w:rsidRPr="00701B5F" w:rsidRDefault="00701B5F" w:rsidP="005430FB">
            <w:pPr>
              <w:jc w:val="center"/>
              <w:rPr>
                <w:color w:val="000000" w:themeColor="text1"/>
                <w:sz w:val="24"/>
                <w:szCs w:val="24"/>
              </w:rPr>
            </w:pPr>
          </w:p>
        </w:tc>
      </w:tr>
      <w:tr w:rsidR="00701B5F" w:rsidRPr="00701B5F" w14:paraId="27FA1541" w14:textId="77777777" w:rsidTr="00701B5F">
        <w:trPr>
          <w:trHeight w:val="404"/>
        </w:trPr>
        <w:tc>
          <w:tcPr>
            <w:tcW w:w="2452" w:type="pct"/>
            <w:vAlign w:val="center"/>
          </w:tcPr>
          <w:p w14:paraId="6E645775" w14:textId="77777777" w:rsidR="00701B5F" w:rsidRPr="00701B5F" w:rsidRDefault="00701B5F" w:rsidP="005430FB">
            <w:pPr>
              <w:rPr>
                <w:b/>
                <w:sz w:val="24"/>
                <w:szCs w:val="24"/>
              </w:rPr>
            </w:pPr>
            <w:r w:rsidRPr="00701B5F">
              <w:rPr>
                <w:b/>
                <w:sz w:val="24"/>
                <w:szCs w:val="24"/>
              </w:rPr>
              <w:t>Study Version 2: Image set 2 Rated First</w:t>
            </w:r>
          </w:p>
        </w:tc>
        <w:tc>
          <w:tcPr>
            <w:tcW w:w="1299" w:type="pct"/>
            <w:vAlign w:val="center"/>
          </w:tcPr>
          <w:p w14:paraId="1A7C20C9" w14:textId="77777777" w:rsidR="00701B5F" w:rsidRPr="00701B5F" w:rsidRDefault="00701B5F" w:rsidP="005430FB">
            <w:pPr>
              <w:jc w:val="center"/>
              <w:rPr>
                <w:i/>
                <w:sz w:val="24"/>
                <w:szCs w:val="24"/>
              </w:rPr>
            </w:pPr>
            <w:r w:rsidRPr="00701B5F">
              <w:rPr>
                <w:i/>
                <w:sz w:val="24"/>
                <w:szCs w:val="24"/>
              </w:rPr>
              <w:t>Mean</w:t>
            </w:r>
          </w:p>
        </w:tc>
        <w:tc>
          <w:tcPr>
            <w:tcW w:w="1249" w:type="pct"/>
            <w:vAlign w:val="center"/>
          </w:tcPr>
          <w:p w14:paraId="27028D79" w14:textId="77777777" w:rsidR="00701B5F" w:rsidRPr="00701B5F" w:rsidRDefault="00701B5F" w:rsidP="005430FB">
            <w:pPr>
              <w:jc w:val="center"/>
              <w:rPr>
                <w:i/>
                <w:color w:val="000000" w:themeColor="text1"/>
                <w:sz w:val="24"/>
                <w:szCs w:val="24"/>
              </w:rPr>
            </w:pPr>
            <w:r w:rsidRPr="00701B5F">
              <w:rPr>
                <w:i/>
                <w:color w:val="000000" w:themeColor="text1"/>
                <w:sz w:val="24"/>
                <w:szCs w:val="24"/>
              </w:rPr>
              <w:t>SD</w:t>
            </w:r>
          </w:p>
        </w:tc>
      </w:tr>
      <w:tr w:rsidR="00701B5F" w:rsidRPr="00701B5F" w14:paraId="27D54EF9" w14:textId="77777777" w:rsidTr="00701B5F">
        <w:trPr>
          <w:trHeight w:val="404"/>
        </w:trPr>
        <w:tc>
          <w:tcPr>
            <w:tcW w:w="2452" w:type="pct"/>
            <w:vAlign w:val="center"/>
          </w:tcPr>
          <w:p w14:paraId="400E1E3A" w14:textId="77777777" w:rsidR="00701B5F" w:rsidRPr="00701B5F" w:rsidRDefault="00701B5F" w:rsidP="005430FB">
            <w:pPr>
              <w:rPr>
                <w:sz w:val="24"/>
                <w:szCs w:val="24"/>
              </w:rPr>
            </w:pPr>
            <w:r w:rsidRPr="00701B5F">
              <w:rPr>
                <w:sz w:val="24"/>
                <w:szCs w:val="24"/>
              </w:rPr>
              <w:t>Image Set 1</w:t>
            </w:r>
          </w:p>
        </w:tc>
        <w:tc>
          <w:tcPr>
            <w:tcW w:w="1299" w:type="pct"/>
            <w:vAlign w:val="center"/>
          </w:tcPr>
          <w:p w14:paraId="78AA7913" w14:textId="77777777" w:rsidR="00701B5F" w:rsidRPr="00701B5F" w:rsidRDefault="00701B5F" w:rsidP="005430FB">
            <w:pPr>
              <w:jc w:val="center"/>
              <w:rPr>
                <w:sz w:val="24"/>
                <w:szCs w:val="24"/>
              </w:rPr>
            </w:pPr>
            <w:r w:rsidRPr="00701B5F">
              <w:rPr>
                <w:sz w:val="24"/>
                <w:szCs w:val="24"/>
              </w:rPr>
              <w:t>4.37</w:t>
            </w:r>
          </w:p>
        </w:tc>
        <w:tc>
          <w:tcPr>
            <w:tcW w:w="1249" w:type="pct"/>
            <w:vAlign w:val="center"/>
          </w:tcPr>
          <w:p w14:paraId="3EF3BE38" w14:textId="77777777" w:rsidR="00701B5F" w:rsidRPr="00701B5F" w:rsidRDefault="00701B5F" w:rsidP="005430FB">
            <w:pPr>
              <w:jc w:val="center"/>
              <w:rPr>
                <w:color w:val="000000" w:themeColor="text1"/>
                <w:sz w:val="24"/>
                <w:szCs w:val="24"/>
              </w:rPr>
            </w:pPr>
            <w:r w:rsidRPr="00701B5F">
              <w:rPr>
                <w:color w:val="000000" w:themeColor="text1"/>
                <w:sz w:val="24"/>
                <w:szCs w:val="24"/>
              </w:rPr>
              <w:t>1.73</w:t>
            </w:r>
          </w:p>
        </w:tc>
      </w:tr>
      <w:tr w:rsidR="00701B5F" w:rsidRPr="00701B5F" w14:paraId="33B90735" w14:textId="77777777" w:rsidTr="00701B5F">
        <w:trPr>
          <w:trHeight w:val="377"/>
        </w:trPr>
        <w:tc>
          <w:tcPr>
            <w:tcW w:w="2452" w:type="pct"/>
            <w:vAlign w:val="center"/>
          </w:tcPr>
          <w:p w14:paraId="3D437E20" w14:textId="77777777" w:rsidR="00701B5F" w:rsidRPr="00701B5F" w:rsidRDefault="00701B5F" w:rsidP="005430FB">
            <w:pPr>
              <w:rPr>
                <w:sz w:val="24"/>
                <w:szCs w:val="24"/>
                <w:u w:val="single"/>
              </w:rPr>
            </w:pPr>
            <w:r w:rsidRPr="00701B5F">
              <w:rPr>
                <w:sz w:val="24"/>
                <w:szCs w:val="24"/>
              </w:rPr>
              <w:t>Image Set 2</w:t>
            </w:r>
          </w:p>
        </w:tc>
        <w:tc>
          <w:tcPr>
            <w:tcW w:w="1299" w:type="pct"/>
            <w:vAlign w:val="center"/>
          </w:tcPr>
          <w:p w14:paraId="614A5908" w14:textId="77777777" w:rsidR="00701B5F" w:rsidRPr="00701B5F" w:rsidRDefault="00701B5F" w:rsidP="005430FB">
            <w:pPr>
              <w:jc w:val="center"/>
              <w:rPr>
                <w:sz w:val="24"/>
                <w:szCs w:val="24"/>
              </w:rPr>
            </w:pPr>
            <w:r w:rsidRPr="00701B5F">
              <w:rPr>
                <w:sz w:val="24"/>
                <w:szCs w:val="24"/>
              </w:rPr>
              <w:t>3.91</w:t>
            </w:r>
          </w:p>
        </w:tc>
        <w:tc>
          <w:tcPr>
            <w:tcW w:w="1249" w:type="pct"/>
            <w:vAlign w:val="center"/>
          </w:tcPr>
          <w:p w14:paraId="7C4665B7" w14:textId="77777777" w:rsidR="00701B5F" w:rsidRPr="00701B5F" w:rsidRDefault="00701B5F" w:rsidP="005430FB">
            <w:pPr>
              <w:jc w:val="center"/>
              <w:rPr>
                <w:color w:val="000000" w:themeColor="text1"/>
                <w:sz w:val="24"/>
                <w:szCs w:val="24"/>
              </w:rPr>
            </w:pPr>
            <w:r w:rsidRPr="00701B5F">
              <w:rPr>
                <w:color w:val="000000" w:themeColor="text1"/>
                <w:sz w:val="24"/>
                <w:szCs w:val="24"/>
              </w:rPr>
              <w:t>1.83</w:t>
            </w:r>
          </w:p>
        </w:tc>
      </w:tr>
    </w:tbl>
    <w:p w14:paraId="5C563B1E" w14:textId="77777777" w:rsidR="00701B5F" w:rsidRPr="00701B5F" w:rsidRDefault="00701B5F" w:rsidP="00701B5F">
      <w:pPr>
        <w:spacing w:before="120"/>
      </w:pPr>
      <w:r w:rsidRPr="00701B5F">
        <w:rPr>
          <w:i/>
          <w:iCs/>
        </w:rPr>
        <w:t>Note.</w:t>
      </w:r>
      <w:r w:rsidRPr="00701B5F">
        <w:t xml:space="preserve"> SD = standard deviation. </w:t>
      </w:r>
    </w:p>
    <w:p w14:paraId="7326D6F2" w14:textId="77777777" w:rsidR="00701B5F" w:rsidRPr="009227BE" w:rsidRDefault="00701B5F" w:rsidP="00701B5F">
      <w:pPr>
        <w:spacing w:line="480" w:lineRule="auto"/>
        <w:ind w:firstLine="720"/>
      </w:pPr>
    </w:p>
    <w:p w14:paraId="3410F514" w14:textId="77777777" w:rsidR="008D0977" w:rsidRDefault="00F53810"/>
    <w:sectPr w:rsidR="008D0977" w:rsidSect="00B52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0C241" w14:textId="77777777" w:rsidR="00F53810" w:rsidRDefault="00F53810" w:rsidP="00701B5F">
      <w:r>
        <w:separator/>
      </w:r>
    </w:p>
  </w:endnote>
  <w:endnote w:type="continuationSeparator" w:id="0">
    <w:p w14:paraId="0D8DFA55" w14:textId="77777777" w:rsidR="00F53810" w:rsidRDefault="00F53810" w:rsidP="0070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3D601" w14:textId="77777777" w:rsidR="00F53810" w:rsidRDefault="00F53810" w:rsidP="00701B5F">
      <w:r>
        <w:separator/>
      </w:r>
    </w:p>
  </w:footnote>
  <w:footnote w:type="continuationSeparator" w:id="0">
    <w:p w14:paraId="6A0B7626" w14:textId="77777777" w:rsidR="00F53810" w:rsidRDefault="00F53810" w:rsidP="00701B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2C673" w14:textId="77777777" w:rsidR="00701B5F" w:rsidRPr="00701B5F" w:rsidRDefault="00701B5F" w:rsidP="00701B5F">
    <w:pPr>
      <w:pStyle w:val="Header"/>
    </w:pPr>
    <w:r w:rsidRPr="00820432">
      <w:t>ALCOHOL AND PERCEIVED ATTRACTIVENESS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5F"/>
    <w:rsid w:val="00100FC9"/>
    <w:rsid w:val="00701B5F"/>
    <w:rsid w:val="007A67ED"/>
    <w:rsid w:val="00866045"/>
    <w:rsid w:val="00947F14"/>
    <w:rsid w:val="00950102"/>
    <w:rsid w:val="00A53374"/>
    <w:rsid w:val="00AC6272"/>
    <w:rsid w:val="00B01E90"/>
    <w:rsid w:val="00B52076"/>
    <w:rsid w:val="00E318B3"/>
    <w:rsid w:val="00F409C0"/>
    <w:rsid w:val="00F53810"/>
    <w:rsid w:val="00F62F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95E9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1B5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B5F"/>
    <w:rPr>
      <w:color w:val="0563C1" w:themeColor="hyperlink"/>
      <w:u w:val="single"/>
    </w:rPr>
  </w:style>
  <w:style w:type="paragraph" w:styleId="FootnoteText">
    <w:name w:val="footnote text"/>
    <w:basedOn w:val="Normal"/>
    <w:link w:val="FootnoteTextChar"/>
    <w:uiPriority w:val="99"/>
    <w:unhideWhenUsed/>
    <w:rsid w:val="00701B5F"/>
  </w:style>
  <w:style w:type="character" w:customStyle="1" w:styleId="FootnoteTextChar">
    <w:name w:val="Footnote Text Char"/>
    <w:basedOn w:val="DefaultParagraphFont"/>
    <w:link w:val="FootnoteText"/>
    <w:uiPriority w:val="99"/>
    <w:rsid w:val="00701B5F"/>
    <w:rPr>
      <w:rFonts w:ascii="Times New Roman" w:hAnsi="Times New Roman" w:cs="Times New Roman"/>
    </w:rPr>
  </w:style>
  <w:style w:type="character" w:styleId="FootnoteReference">
    <w:name w:val="footnote reference"/>
    <w:basedOn w:val="DefaultParagraphFont"/>
    <w:uiPriority w:val="99"/>
    <w:unhideWhenUsed/>
    <w:rsid w:val="00701B5F"/>
    <w:rPr>
      <w:vertAlign w:val="superscript"/>
    </w:rPr>
  </w:style>
  <w:style w:type="table" w:styleId="TableGrid">
    <w:name w:val="Table Grid"/>
    <w:basedOn w:val="TableNormal"/>
    <w:uiPriority w:val="39"/>
    <w:rsid w:val="00701B5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B5F"/>
    <w:pPr>
      <w:tabs>
        <w:tab w:val="center" w:pos="4680"/>
        <w:tab w:val="right" w:pos="9360"/>
      </w:tabs>
    </w:pPr>
  </w:style>
  <w:style w:type="character" w:customStyle="1" w:styleId="HeaderChar">
    <w:name w:val="Header Char"/>
    <w:basedOn w:val="DefaultParagraphFont"/>
    <w:link w:val="Header"/>
    <w:uiPriority w:val="99"/>
    <w:rsid w:val="00701B5F"/>
    <w:rPr>
      <w:rFonts w:ascii="Times New Roman" w:hAnsi="Times New Roman" w:cs="Times New Roman"/>
    </w:rPr>
  </w:style>
  <w:style w:type="paragraph" w:styleId="Footer">
    <w:name w:val="footer"/>
    <w:basedOn w:val="Normal"/>
    <w:link w:val="FooterChar"/>
    <w:uiPriority w:val="99"/>
    <w:unhideWhenUsed/>
    <w:rsid w:val="00701B5F"/>
    <w:pPr>
      <w:tabs>
        <w:tab w:val="center" w:pos="4680"/>
        <w:tab w:val="right" w:pos="9360"/>
      </w:tabs>
    </w:pPr>
  </w:style>
  <w:style w:type="character" w:customStyle="1" w:styleId="FooterChar">
    <w:name w:val="Footer Char"/>
    <w:basedOn w:val="DefaultParagraphFont"/>
    <w:link w:val="Footer"/>
    <w:uiPriority w:val="99"/>
    <w:rsid w:val="00701B5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rolific.co"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1295</Words>
  <Characters>7388</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Participants </vt:lpstr>
      <vt:lpstr>Participants were recruited via an online participant recruitment platform, Prol</vt:lpstr>
      <vt:lpstr>Procedure </vt:lpstr>
      <vt:lpstr>Participants (n = 34) who were deemed eligible via Prolific screening tools were</vt:lpstr>
      <vt:lpstr>Materials</vt:lpstr>
      <vt:lpstr>Attractiveness rating task.  The attractiveness rating task and specific image s</vt:lpstr>
      <vt:lpstr>Attractiveness ratings.  Ratings were reported using a Likert scale of 1 (very u</vt:lpstr>
      <vt:lpstr>Demographics.  Participants reported their demographic information prior to the </vt:lpstr>
    </vt:vector>
  </TitlesOfParts>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Bowdring</dc:creator>
  <cp:keywords/>
  <dc:description/>
  <cp:lastModifiedBy>Molly Bowdring</cp:lastModifiedBy>
  <cp:revision>2</cp:revision>
  <dcterms:created xsi:type="dcterms:W3CDTF">2022-06-13T23:34:00Z</dcterms:created>
  <dcterms:modified xsi:type="dcterms:W3CDTF">2022-06-13T23:34:00Z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id="VikOEIVa"/&gt;&lt;style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