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26hy9bvwp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01: Analysis of Exoplanets Based on Orbital Time Period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agra2opfo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Approach to Dataset and Histogram Generation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Accessed the exoplanet catalog via the provided link.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Filtered data to include only confirmed exoplanets detected using the Radial Velocity (RV) method.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Exported relevant parameters, particularly the orbital period (in Earth days).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entries with missing or erroneous orbital period data.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the orbital period range to 0–400 Earth days to focus on short to moderately long-period planets, avoiding skewness from extreme outliers.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 Generation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libraries for visualization.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Binned data into intervals of 10 days, plotted the histogram, and added labels for clarity.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s3wzmieje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Concentration of Short-Period Exoplanets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exoplanets detected via the RV method exhibit orbital periods less than 50 days. This is due to: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Observational Bias</w:t>
      </w:r>
      <w:r w:rsidDel="00000000" w:rsidR="00000000" w:rsidRPr="00000000">
        <w:rPr>
          <w:rtl w:val="0"/>
        </w:rPr>
        <w:t xml:space="preserve">: Closer planets cause larger and more frequent Doppler shifts, making them easier to detect.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Detection Sensitivity</w:t>
      </w:r>
      <w:r w:rsidDel="00000000" w:rsidR="00000000" w:rsidRPr="00000000">
        <w:rPr>
          <w:rtl w:val="0"/>
        </w:rPr>
        <w:t xml:space="preserve">: Short-period planets induce stronger gravitational tugs, producing higher velocity amplitudes.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Scarcity of Long-Period Exoplanets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Longer orbital periods result in weaker Doppler shifts and require more extended observation times to detect multiple cycles.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technology limits and observational time constraints hinder the detection of Earth-like planets with orbital periods similar to Earth, Venus, or Mars.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tagxqq3l3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cmwy69bce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3u3m8vsac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ad7xxkqf4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5sp2oiuov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02: Radial Velocity Method for Finding Exoplanets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roloxgq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Analysis of 51 Pegasi Radial Velocity Data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Loaded the radial velocity dataset.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Plotted time (Julian date) on the X-axis and radial velocity (m/s) on the Y-axis.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Observed periodic oscillations indicative of the planet’s influence.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Period Estimate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a repeating pattern visually, estimating an orbital period of approximately 4.2 days.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Lomb-Scargle Periodogram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the periodogram formula to identify the period with the highest power.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a precise orbital period of ~4.23 days.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Folding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Folded the radial velocity data using the derived orbital period.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Plotted the phase-folded radial velocity curve to reveal the periodic motion of the star.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e0tpir4zq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Observations: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derived orbital period matches historical observations of 51 Pegasi b.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Noise in the folded curve may be due to measurement uncertainties or additional system factors.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na3hnybei6r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Rule="auto"/>
        <w:rPr>
          <w:b w:val="1"/>
          <w:sz w:val="26"/>
          <w:szCs w:val="26"/>
        </w:rPr>
      </w:pPr>
      <w:bookmarkStart w:colFirst="0" w:colLast="0" w:name="_f9h7dmwvrgoa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Problem 03: Pulsars in Deep Space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twvskwu3i184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Numerical Dataset Analysis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Data Preprocessing: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Scaled numerical features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StandardScaler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from scikit-learn.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Split data into training and validation sets (80:20 ratio).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Model Development: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Trained a Random Forest model with hyperparameter tuning (e.g., tree depth and the number of estimators).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Performance Evaluation: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Metrics used: Accuracy, precision, recall, F1 score, and ROC-AUC.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Achieved high precision, reducing false positives.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Performance Summary: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Accuracy: 93.25%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Precision: 88.97%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Recall: 91.54%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F1 Score: 90.23%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1"/>
          <w:numId w:val="13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ROC-AUC: 96.78%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Advantages and Limitations: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Advantages: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Faster training and easier preprocessing.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High interpretability using metrics like feature importance.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Limitations: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Limited to structured data.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1"/>
          <w:numId w:val="6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Performance depends on feature engineering.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lbudqwot14s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Image Dataset Analysis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Preprocessing: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Resized images to 64x64 pixels.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Normalized pixel values and created batches for training.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CNN Model: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Designed a 4-layer CNN with convolutional, pooling, and fully connected layers.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Used cross-entropy loss and Adam optimizer.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Applied mixed precision training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GradScaler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 and GPU acceleration.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Performance Evaluation: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Validation Accuracy: 87.5%.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Training Loss: Converged to ~0.02 after 10 epochs.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Advantages and Limitations: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Advantages: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Able to capture complex spatial patterns in images.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Does not require manual feature engineering; instead, it learns features automatically.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Limitations: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Requires significant computational resources (e.g., GPUs).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Slower training process due to model complexity.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p5x175dzzj6e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Comparison and Discussion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Numerical Models (Random Forest):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Faster training and interpretation.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Suitable for structured datasets with defined features.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Ideal when computational efficiency and interpretability are critical.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Image Models (CNN):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Better for complex, high-dimensional image data.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f9h7dmwvrgoa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Requires more computational resources but excels in tasks requiring intricate pattern recognition.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ddjtgp74bnjd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In summary, the Random Forest model achieved higher accuracy (93.25% vs. 87.5%) and efficiency, making it preferable for structured data. However, the CNN model excelled in recognizing complex image patterns, highlighting its strength for unstructured data tasks like image classification.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h7dmwvrgo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s5cbmfnbp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cx3elaegp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kliuc50cg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04: Orbital Resonances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ntjdrx9oyb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Approach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Inner Planet’s Orbital Period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Kepler’s Third Law: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Substituted and :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Outer Planet’s Semi-Major Axis and Orbital Period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3:2 resonance: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Kepler’s law: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Resonances can enhance tidal heating, potentially affecting planetary atmospheres and habitability.</w:t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Gravitational interactions may destabilize orbits over time but can also promote long-term stability if resonances persist.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lthv7e590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r6y68rlab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rw05o4ofi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nht8cwnyy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w1g5mulu8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5rafz4fia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0l2qs3pb2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drvb96kvc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ex8e4dnack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akuz66gmjr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05: Escape Velocity from a White Dwarf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rckdcd8nm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Approach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Escape Velocity Formula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energy conservation: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Substituted and 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escape velocities intensify accretion disk dynamics and electron degeneracy pressure.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White dwarfs exhibit extreme gravitational effects, influencing nearby matter and potentially triggering supernovae.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