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Please follow the following operations for both versions: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. Run all code before generating graphs in the ipynb files. The elbow and silhouette score assists k selection.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. Run the appropriate Rmarkdown file with the created csv from above code. (Require Datasets from Step1)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. Run the rest code from ipynb for visualization and final labels for downstream models. (Require Datasets from Step2)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read </w:t>
      </w:r>
      <w:r w:rsidDel="00000000" w:rsidR="00000000" w:rsidRPr="00000000">
        <w:rPr>
          <w:b w:val="1"/>
          <w:bCs w:val="1"/>
          <w:rtl w:val="0"/>
        </w:rPr>
        <w:t xml:space="preserve">Clustering Feature/Dataset documentation</w:t>
      </w:r>
      <w:r w:rsidDel="00000000" w:rsidR="00000000" w:rsidRPr="00000000">
        <w:rPr>
          <w:rtl w:val="0"/>
        </w:rPr>
        <w:t xml:space="preserve"> for more detailed description.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