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WORK — CLOUD INFRASTRUCTURE MIGRATION &amp; API GATEWAY DEVELOPMENT</w:t>
      </w:r>
    </w:p>
    <w:p/>
    <w:p>
      <w:r>
        <w:t>SOW Reference: SOW-2025-001</w:t>
      </w:r>
    </w:p>
    <w:p>
      <w:r>
        <w:t>Effective Date: February 1, 2025</w:t>
      </w:r>
    </w:p>
    <w:p>
      <w:r>
        <w:t>Master Services Agreement Date: January 1, 2025</w:t>
      </w:r>
    </w:p>
    <w:p>
      <w:r>
        <w:t>Parties: TechM Solutions Pvt. Ltd. ("Vendor") and Infosys Global Corp. ("Client")</w:t>
      </w:r>
    </w:p>
    <w:p/>
    <w:p/>
    <w:p>
      <w:pPr>
        <w:pStyle w:val="Heading1"/>
      </w:pPr>
      <w:r>
        <w:t>Section 1 — Project Overview</w:t>
      </w:r>
    </w:p>
    <w:p/>
    <w:p>
      <w:pPr>
        <w:pStyle w:val="Heading2"/>
      </w:pPr>
      <w:r>
        <w:t>1.1  This Statement of Work ("SOW") is issued pursuant to and governed by the Master</w:t>
      </w:r>
    </w:p>
    <w:p>
      <w:r>
        <w:t xml:space="preserve">     Services Agreement ("MSA") dated January 1, 2025, between Vendor and Client.</w:t>
      </w:r>
    </w:p>
    <w:p/>
    <w:p>
      <w:pPr>
        <w:pStyle w:val="Heading2"/>
      </w:pPr>
      <w:r>
        <w:t>1.2  The Vendor shall design, develop, test, and deploy a Cloud Infrastructure</w:t>
      </w:r>
    </w:p>
    <w:p>
      <w:r>
        <w:t xml:space="preserve">     Migration solution and a RESTful API Gateway for Client's enterprise systems.</w:t>
      </w:r>
    </w:p>
    <w:p>
      <w:r>
        <w:t xml:space="preserve">     The project encompasses migration of Client's on-premise workloads to AWS,</w:t>
      </w:r>
    </w:p>
    <w:p>
      <w:r>
        <w:t xml:space="preserve">     development of a unified API Gateway, and delivery of all associated</w:t>
      </w:r>
    </w:p>
    <w:p>
      <w:r>
        <w:t xml:space="preserve">     documentation and training materials.</w:t>
      </w:r>
    </w:p>
    <w:p/>
    <w:p>
      <w:pPr>
        <w:pStyle w:val="Heading2"/>
      </w:pPr>
      <w:r>
        <w:t>1.3  All services under this SOW shall be performed in accordance with the terms</w:t>
      </w:r>
    </w:p>
    <w:p>
      <w:r>
        <w:t xml:space="preserve">     of the MSA and the additional terms set forth herein. In the event of any</w:t>
      </w:r>
    </w:p>
    <w:p>
      <w:r>
        <w:t xml:space="preserve">     conflict between this SOW and the MSA, the terms of this SOW shall govern</w:t>
      </w:r>
    </w:p>
    <w:p>
      <w:r>
        <w:t xml:space="preserve">     with respect to the specific project described herein.</w:t>
      </w:r>
    </w:p>
    <w:p/>
    <w:p/>
    <w:p>
      <w:pPr>
        <w:pStyle w:val="Heading1"/>
      </w:pPr>
      <w:r>
        <w:t>Section 2 — Payment Terms and Milestone Schedule</w:t>
      </w:r>
    </w:p>
    <w:p/>
    <w:p>
      <w:pPr>
        <w:pStyle w:val="Heading2"/>
      </w:pPr>
      <w:r>
        <w:t>2.1  The total fixed fee for services under this SOW is INR 2,50,00,000 (Indian</w:t>
      </w:r>
    </w:p>
    <w:p>
      <w:r>
        <w:t xml:space="preserve">     Rupees Two Crore Fifty Lakhs), payable in milestone-linked installments as</w:t>
      </w:r>
    </w:p>
    <w:p>
      <w:r>
        <w:t xml:space="preserve">     set out in Section 2.3 below.</w:t>
      </w:r>
    </w:p>
    <w:p/>
    <w:p>
      <w:pPr>
        <w:pStyle w:val="Heading2"/>
      </w:pPr>
      <w:r>
        <w:t>2.2  All milestone-based invoices submitted by the Vendor shall be paid by the</w:t>
      </w:r>
    </w:p>
    <w:p>
      <w:r>
        <w:t xml:space="preserve">     Client within forty-five (45) days of receipt of the invoice and completion</w:t>
      </w:r>
    </w:p>
    <w:p>
      <w:r>
        <w:t xml:space="preserve">     certificate for the applicable milestone. This timeline supersedes the general</w:t>
      </w:r>
    </w:p>
    <w:p>
      <w:r>
        <w:t xml:space="preserve">     payment terms set forth in the MSA for the purposes of this SOW.</w:t>
      </w:r>
    </w:p>
    <w:p/>
    <w:p>
      <w:pPr>
        <w:pStyle w:val="Heading2"/>
      </w:pPr>
      <w:r>
        <w:t>2.3  Milestone Payment Schedule:</w:t>
      </w:r>
    </w:p>
    <w:p/>
    <w:p>
      <w:r>
        <w:t xml:space="preserve">     Milestone 1 — Project Kickoff and Requirements Sign-Off:     INR 25,00,000</w:t>
      </w:r>
    </w:p>
    <w:p>
      <w:r>
        <w:t xml:space="preserve">     Milestone 2 — Architecture Design Document Approved:          INR 40,00,000</w:t>
      </w:r>
    </w:p>
    <w:p>
      <w:r>
        <w:t xml:space="preserve">     Milestone 3 — Development Sprint 1 (Core API Gateway):       INR 50,00,000</w:t>
      </w:r>
    </w:p>
    <w:p>
      <w:r>
        <w:t xml:space="preserve">     Milestone 4 — Development Sprint 2 (Migration Batch 1):      INR 50,00,000</w:t>
      </w:r>
    </w:p>
    <w:p>
      <w:r>
        <w:t xml:space="preserve">     Milestone 5 — User Acceptance Testing Completion:            INR 50,00,000</w:t>
      </w:r>
    </w:p>
    <w:p>
      <w:r>
        <w:t xml:space="preserve">     Milestone 6 — Production Go-Live and Hypercare:              INR 35,00,000</w:t>
      </w:r>
    </w:p>
    <w:p/>
    <w:p>
      <w:pPr>
        <w:pStyle w:val="Heading2"/>
      </w:pPr>
      <w:r>
        <w:t>2.4  All payments shall be made by electronic funds transfer to the bank account</w:t>
      </w:r>
    </w:p>
    <w:p>
      <w:r>
        <w:t xml:space="preserve">     designated in writing by Vendor. Vendor shall issue a tax-compliant GST invoice</w:t>
      </w:r>
    </w:p>
    <w:p>
      <w:r>
        <w:t xml:space="preserve">     for each milestone payment.</w:t>
      </w:r>
    </w:p>
    <w:p/>
    <w:p/>
    <w:p>
      <w:pPr>
        <w:pStyle w:val="Heading1"/>
      </w:pPr>
      <w:r>
        <w:t>Section 3 — Deliverables and Scope</w:t>
      </w:r>
    </w:p>
    <w:p/>
    <w:p>
      <w:pPr>
        <w:pStyle w:val="Heading2"/>
      </w:pPr>
      <w:r>
        <w:t>3.1  All deliverables, technical specifications, acceptance criteria, and detailed</w:t>
      </w:r>
    </w:p>
    <w:p>
      <w:r>
        <w:t xml:space="preserve">     project timelines for this SOW are as specified in Schedule 1 – Project Scope</w:t>
      </w:r>
    </w:p>
    <w:p>
      <w:r>
        <w:t xml:space="preserve">     Document, which must be executed concurrently with this SOW and forms an</w:t>
      </w:r>
    </w:p>
    <w:p>
      <w:r>
        <w:t xml:space="preserve">     integral part hereof. Client acknowledges that evaluation of deliverable</w:t>
      </w:r>
    </w:p>
    <w:p>
      <w:r>
        <w:t xml:space="preserve">     completeness cannot proceed without the referenced Schedule 1.</w:t>
      </w:r>
    </w:p>
    <w:p/>
    <w:p>
      <w:pPr>
        <w:pStyle w:val="Heading2"/>
      </w:pPr>
      <w:r>
        <w:t>3.2  The Vendor shall provide the following deliverables under this SOW:</w:t>
      </w:r>
    </w:p>
    <w:p>
      <w:r>
        <w:t xml:space="preserve">     (a)  Current-state architecture assessment report;</w:t>
      </w:r>
    </w:p>
    <w:p>
      <w:r>
        <w:t xml:space="preserve">     (b)  Target-state cloud architecture design document;</w:t>
      </w:r>
    </w:p>
    <w:p>
      <w:r>
        <w:t xml:space="preserve">     (c)  API Gateway source code, unit tests, and deployment scripts;</w:t>
      </w:r>
    </w:p>
    <w:p>
      <w:r>
        <w:t xml:space="preserve">     (d)  Data migration runbooks and rollback procedures;</w:t>
      </w:r>
    </w:p>
    <w:p>
      <w:r>
        <w:t xml:space="preserve">     (e)  Production deployment package with release notes;</w:t>
      </w:r>
    </w:p>
    <w:p>
      <w:r>
        <w:t xml:space="preserve">     (f)  Knowledge transfer documentation and training sessions.</w:t>
      </w:r>
    </w:p>
    <w:p/>
    <w:p>
      <w:pPr>
        <w:pStyle w:val="Heading2"/>
      </w:pPr>
      <w:r>
        <w:t>3.3  All deliverables shall be submitted to Client's designated Project Manager for</w:t>
      </w:r>
    </w:p>
    <w:p>
      <w:r>
        <w:t xml:space="preserve">     review and acceptance. Client shall provide written acceptance or a detailed</w:t>
      </w:r>
    </w:p>
    <w:p>
      <w:r>
        <w:t xml:space="preserve">     list of deficiencies within ten (10) business days of submission. Failure to</w:t>
      </w:r>
    </w:p>
    <w:p>
      <w:r>
        <w:t xml:space="preserve">     respond within this period shall constitute deemed acceptance.</w:t>
      </w:r>
    </w:p>
    <w:p/>
    <w:p/>
    <w:p>
      <w:pPr>
        <w:pStyle w:val="Heading1"/>
      </w:pPr>
      <w:r>
        <w:t>Section 4 — Project Timeline</w:t>
      </w:r>
    </w:p>
    <w:p/>
    <w:p>
      <w:pPr>
        <w:pStyle w:val="Heading2"/>
      </w:pPr>
      <w:r>
        <w:t>4.1  The project shall commence on the SOW Effective Date and shall be completed</w:t>
      </w:r>
    </w:p>
    <w:p>
      <w:r>
        <w:t xml:space="preserve">     within nine (9) months, targeting a production go-live date of October 31, 2025,</w:t>
      </w:r>
    </w:p>
    <w:p>
      <w:r>
        <w:t xml:space="preserve">     subject to Client's timely provision of access, approvals, and resources as</w:t>
      </w:r>
    </w:p>
    <w:p>
      <w:r>
        <w:t xml:space="preserve">     specified in Schedule 1 – Project Scope Document.</w:t>
      </w:r>
    </w:p>
    <w:p/>
    <w:p>
      <w:pPr>
        <w:pStyle w:val="Heading2"/>
      </w:pPr>
      <w:r>
        <w:t>4.2  Vendor shall provide Client with bi-weekly progress reports. Any risk to the</w:t>
      </w:r>
    </w:p>
    <w:p>
      <w:r>
        <w:t xml:space="preserve">     timeline shall be communicated in writing within three (3) business days of</w:t>
      </w:r>
    </w:p>
    <w:p>
      <w:r>
        <w:t xml:space="preserve">     Vendor becoming aware of such risk.</w:t>
      </w:r>
    </w:p>
    <w:p/>
    <w:p/>
    <w:p>
      <w:pPr>
        <w:pStyle w:val="Heading1"/>
      </w:pPr>
      <w:r>
        <w:t>Section 5 — Late Delivery and Service Level Penalties</w:t>
      </w:r>
    </w:p>
    <w:p/>
    <w:p>
      <w:pPr>
        <w:pStyle w:val="Heading2"/>
      </w:pPr>
      <w:r>
        <w:t>5.1  In the event that Vendor fails to deliver any milestone by the agreed date set</w:t>
      </w:r>
    </w:p>
    <w:p>
      <w:r>
        <w:t xml:space="preserve">     forth in the milestone schedule, Client shall be entitled to levy service level</w:t>
      </w:r>
    </w:p>
    <w:p>
      <w:r>
        <w:t xml:space="preserve">     deductions and penalty amounts as calculated and applied in accordance with the</w:t>
      </w:r>
    </w:p>
    <w:p>
      <w:r>
        <w:t xml:space="preserve">     penalty formula and deduction table defined in SOW Section 9 — Penalty</w:t>
      </w:r>
    </w:p>
    <w:p>
      <w:r>
        <w:t xml:space="preserve">     Calculations and Adjustments.</w:t>
      </w:r>
    </w:p>
    <w:p/>
    <w:p>
      <w:pPr>
        <w:pStyle w:val="Heading2"/>
      </w:pPr>
      <w:r>
        <w:t>5.2  The maximum aggregate penalty that Client may levy against Vendor under this</w:t>
      </w:r>
    </w:p>
    <w:p>
      <w:r>
        <w:t xml:space="preserve">     Section shall not exceed fifteen percent (15%) of the total SOW value.</w:t>
      </w:r>
    </w:p>
    <w:p/>
    <w:p>
      <w:pPr>
        <w:pStyle w:val="Heading2"/>
      </w:pPr>
      <w:r>
        <w:t>5.3  Penalties shall be applied by way of deduction from the next milestone payment</w:t>
      </w:r>
    </w:p>
    <w:p>
      <w:r>
        <w:t xml:space="preserve">     falling due after the penalty event, or by way of credit note if no further</w:t>
      </w:r>
    </w:p>
    <w:p>
      <w:r>
        <w:t xml:space="preserve">     payments are due.</w:t>
      </w:r>
    </w:p>
    <w:p/>
    <w:p/>
    <w:p>
      <w:pPr>
        <w:pStyle w:val="Heading1"/>
      </w:pPr>
      <w:r>
        <w:t>Section 6 — Intellectual Property and Code Ownership</w:t>
      </w:r>
    </w:p>
    <w:p/>
    <w:p>
      <w:pPr>
        <w:pStyle w:val="Heading2"/>
      </w:pPr>
      <w:r>
        <w:t>6.1  Notwithstanding MSA Section 5 and notwithstanding any other provision of the</w:t>
      </w:r>
    </w:p>
    <w:p>
      <w:r>
        <w:t xml:space="preserve">     MSA or this SOW, all software code, API schemas, database schemas, configuration</w:t>
      </w:r>
    </w:p>
    <w:p>
      <w:r>
        <w:t xml:space="preserve">     scripts, architectural designs, and source artifacts developed by Vendor under</w:t>
      </w:r>
    </w:p>
    <w:p>
      <w:r>
        <w:t xml:space="preserve">     this SOW shall remain the sole and exclusive intellectual property of the Vendor</w:t>
      </w:r>
    </w:p>
    <w:p>
      <w:r>
        <w:t xml:space="preserve">     for a period of six (6) months following final delivery and Client acceptance.</w:t>
      </w:r>
    </w:p>
    <w:p>
      <w:r>
        <w:t xml:space="preserve">     During this retention period, Vendor grants Client a limited, non-exclusive,</w:t>
      </w:r>
    </w:p>
    <w:p>
      <w:r>
        <w:t xml:space="preserve">     non-transferable license to use the deliverables solely for internal business</w:t>
      </w:r>
    </w:p>
    <w:p>
      <w:r>
        <w:t xml:space="preserve">     purposes.</w:t>
      </w:r>
    </w:p>
    <w:p/>
    <w:p>
      <w:pPr>
        <w:pStyle w:val="Heading2"/>
      </w:pPr>
      <w:r>
        <w:t>6.2  Upon expiry of the six (6) month retention period described in Section 6.1,</w:t>
      </w:r>
    </w:p>
    <w:p>
      <w:r>
        <w:t xml:space="preserve">     and upon receipt of all outstanding payments due under this SOW, Vendor shall</w:t>
      </w:r>
    </w:p>
    <w:p>
      <w:r>
        <w:t xml:space="preserve">     execute an IP assignment agreement transferring all right, title, and interest</w:t>
      </w:r>
    </w:p>
    <w:p>
      <w:r>
        <w:t xml:space="preserve">     in the Deliverables to Client.</w:t>
      </w:r>
    </w:p>
    <w:p/>
    <w:p/>
    <w:p>
      <w:pPr>
        <w:pStyle w:val="Heading1"/>
      </w:pPr>
      <w:r>
        <w:t>Section 7 — Liability for Data Breaches and Cybersecurity Incidents</w:t>
      </w:r>
    </w:p>
    <w:p/>
    <w:p>
      <w:pPr>
        <w:pStyle w:val="Heading2"/>
      </w:pPr>
      <w:r>
        <w:t>7.1  Notwithstanding MSA Section 7 and notwithstanding the general limitation of</w:t>
      </w:r>
    </w:p>
    <w:p>
      <w:r>
        <w:t xml:space="preserve">     liability provisions set forth therein, the Vendor's liability for any data</w:t>
      </w:r>
    </w:p>
    <w:p>
      <w:r>
        <w:t xml:space="preserve">     breach, cybersecurity incident, unauthorized access, data leakage, or</w:t>
      </w:r>
    </w:p>
    <w:p>
      <w:r>
        <w:t xml:space="preserve">     compromise of Client data arising from Vendor's acts or omissions shall be</w:t>
      </w:r>
    </w:p>
    <w:p>
      <w:r>
        <w:t xml:space="preserve">     uncapped and unlimited in amount.</w:t>
      </w:r>
    </w:p>
    <w:p/>
    <w:p>
      <w:pPr>
        <w:pStyle w:val="Heading2"/>
      </w:pPr>
      <w:r>
        <w:t>7.2  In the event of a data breach attributable to Vendor, Vendor shall: (a) notify</w:t>
      </w:r>
    </w:p>
    <w:p>
      <w:r>
        <w:t xml:space="preserve">     Client within 24 hours of discovery; (b) bear all costs of investigation,</w:t>
      </w:r>
    </w:p>
    <w:p>
      <w:r>
        <w:t xml:space="preserve">     remediation, and notification to affected parties; (c) indemnify Client for all</w:t>
      </w:r>
    </w:p>
    <w:p>
      <w:r>
        <w:t xml:space="preserve">     regulatory fines, penalties, third-party claims, and consequential losses arising</w:t>
      </w:r>
    </w:p>
    <w:p>
      <w:r>
        <w:t xml:space="preserve">     from the breach, without limit.</w:t>
      </w:r>
    </w:p>
    <w:p/>
    <w:p/>
    <w:p>
      <w:pPr>
        <w:pStyle w:val="Heading1"/>
      </w:pPr>
      <w:r>
        <w:t>Section 8 — Termination for Convenience</w:t>
      </w:r>
    </w:p>
    <w:p/>
    <w:p>
      <w:pPr>
        <w:pStyle w:val="Heading2"/>
      </w:pPr>
      <w:r>
        <w:t>8.1  Client may terminate this Statement of Work for convenience at any time by</w:t>
      </w:r>
    </w:p>
    <w:p>
      <w:r>
        <w:t xml:space="preserve">     giving seven (7) days written notice to the Vendor. Upon such termination, Client</w:t>
      </w:r>
    </w:p>
    <w:p>
      <w:r>
        <w:t xml:space="preserve">     shall pay Vendor for all work completed and documented expenses incurred up to</w:t>
      </w:r>
    </w:p>
    <w:p>
      <w:r>
        <w:t xml:space="preserve">     the effective date of termination.</w:t>
      </w:r>
    </w:p>
    <w:p/>
    <w:p>
      <w:pPr>
        <w:pStyle w:val="Heading2"/>
      </w:pPr>
      <w:r>
        <w:t>8.2  Vendor may terminate this SOW for convenience by giving thirty (30) days written</w:t>
      </w:r>
    </w:p>
    <w:p>
      <w:r>
        <w:t xml:space="preserve">     notice to Client, provided that no active milestone delivery is in progress.</w:t>
      </w:r>
    </w:p>
    <w:p/>
    <w:p/>
    <w:p>
      <w:pPr>
        <w:pStyle w:val="Heading1"/>
      </w:pPr>
      <w:r>
        <w:t>Section 9 — Penalty Calculations and Adjustments</w:t>
      </w:r>
    </w:p>
    <w:p/>
    <w:p>
      <w:pPr>
        <w:pStyle w:val="Heading2"/>
      </w:pPr>
      <w:r>
        <w:t>9.1  All penalty calculations, service level deduction percentages, and adjustments</w:t>
      </w:r>
    </w:p>
    <w:p>
      <w:r>
        <w:t xml:space="preserve">     to the total contract value applicable under Section 5 of this SOW shall be</w:t>
      </w:r>
    </w:p>
    <w:p>
      <w:r>
        <w:t xml:space="preserve">     determined by reference to the performance milestones, delivery dates, and</w:t>
      </w:r>
    </w:p>
    <w:p>
      <w:r>
        <w:t xml:space="preserve">     measurement criteria defined in SOW Section 5 — Late Delivery and Service Level</w:t>
      </w:r>
    </w:p>
    <w:p>
      <w:r>
        <w:t xml:space="preserve">     Penalties.</w:t>
      </w:r>
    </w:p>
    <w:p/>
    <w:p>
      <w:pPr>
        <w:pStyle w:val="Heading2"/>
      </w:pPr>
      <w:r>
        <w:t>9.2  Penalty amounts are calculated as follows: for each week of delay beyond the</w:t>
      </w:r>
    </w:p>
    <w:p>
      <w:r>
        <w:t xml:space="preserve">     agreed milestone date, a deduction of two percent (2%) of the applicable</w:t>
      </w:r>
    </w:p>
    <w:p>
      <w:r>
        <w:t xml:space="preserve">     milestone value shall be applied, subject to the aggregate cap specified in</w:t>
      </w:r>
    </w:p>
    <w:p>
      <w:r>
        <w:t xml:space="preserve">     Section 5.2.</w:t>
      </w:r>
    </w:p>
    <w:p/>
    <w:p>
      <w:pPr>
        <w:pStyle w:val="Heading2"/>
      </w:pPr>
      <w:r>
        <w:t>9.3  All penalty deductions shall be documented in a penalty notice issued by Client</w:t>
      </w:r>
    </w:p>
    <w:p>
      <w:r>
        <w:t xml:space="preserve">     and shall be subject to Vendor's right to dispute within five (5) business days</w:t>
      </w:r>
    </w:p>
    <w:p>
      <w:r>
        <w:t xml:space="preserve">     of receipt.</w:t>
      </w:r>
    </w:p>
    <w:p/>
    <w:p/>
    <w:p>
      <w:pPr>
        <w:pStyle w:val="Heading1"/>
      </w:pPr>
      <w:r>
        <w:t>Section 10 — Acceptance and Signatures</w:t>
      </w:r>
    </w:p>
    <w:p/>
    <w:p>
      <w:pPr>
        <w:pStyle w:val="Heading2"/>
      </w:pPr>
      <w:r>
        <w:t>10.1  This SOW is effective upon execution by authorized representatives of both</w:t>
      </w:r>
    </w:p>
    <w:p>
      <w:r>
        <w:t xml:space="preserve">      parties and is subject to the terms and conditions of the MSA.</w:t>
      </w:r>
    </w:p>
    <w:p/>
    <w:p>
      <w:r>
        <w:t>TechM Solutions Pvt. Ltd.              Infosys Global Corp.</w:t>
      </w:r>
    </w:p>
    <w:p/>
    <w:p>
      <w:r>
        <w:t>Signature: ___________________         Signature: ___________________</w:t>
      </w:r>
    </w:p>
    <w:p>
      <w:r>
        <w:t>Name:      ___________________         Name:      ___________________</w:t>
      </w:r>
    </w:p>
    <w:p>
      <w:r>
        <w:t>Title:     ___________________         Title:     ___________________</w:t>
      </w:r>
    </w:p>
    <w:p>
      <w:r>
        <w:t>Date:      ___________________         Date:     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