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Department of Information Technology</w:t>
      </w:r>
    </w:p>
    <w:p>
      <w:pPr>
        <w:jc w:val="center"/>
      </w:pPr>
      <w:r>
        <w:rPr>
          <w:rFonts w:ascii="Times New Roman" w:hAnsi="Times New Roman"/>
          <w:sz w:val="28"/>
        </w:rPr>
        <w:t>Project Report — First Stage</w:t>
        <w:br/>
        <w:t>M.Sc. IT / TY AI/ML (2026–2027)</w:t>
      </w:r>
    </w:p>
    <w:p/>
    <w:p/>
    <w:p>
      <w:pPr>
        <w:jc w:val="center"/>
      </w:pPr>
      <w:r>
        <w:rPr>
          <w:rFonts w:ascii="Times New Roman" w:hAnsi="Times New Roman"/>
          <w:b/>
          <w:sz w:val="26"/>
        </w:rPr>
        <w:t>Project Title:</w:t>
      </w:r>
    </w:p>
    <w:p>
      <w:pPr>
        <w:jc w:val="center"/>
      </w:pPr>
      <w:r>
        <w:rPr>
          <w:rFonts w:ascii="Times New Roman" w:hAnsi="Times New Roman"/>
          <w:b/>
          <w:sz w:val="30"/>
        </w:rPr>
        <w:t>Indian Legal RAG Assistant</w:t>
        <w:br/>
        <w:t>A Domain-Neutral, Evidence-Verified Retrieval-Augmented</w:t>
        <w:br/>
        <w:t>Generation System for Indian Law</w:t>
      </w:r>
    </w:p>
    <w:p/>
    <w:p/>
    <w:tbl>
      <w:tblPr>
        <w:tblStyle w:val="TableGrid"/>
        <w:tblW w:type="auto" w:w="0"/>
        <w:tblLook w:firstColumn="1" w:firstRow="1" w:lastColumn="0" w:lastRow="0" w:noHBand="0" w:noVBand="1" w:val="04A0"/>
      </w:tblPr>
      <w:tblGrid>
        <w:gridCol w:w="4320"/>
        <w:gridCol w:w="4320"/>
      </w:tblGrid>
      <w:tr>
        <w:tc>
          <w:tcPr>
            <w:tcW w:type="dxa" w:w="2880"/>
          </w:tcPr>
          <w:p>
            <w:r>
              <w:rPr>
                <w:b/>
                <w:sz w:val="22"/>
              </w:rPr>
            </w:r>
          </w:p>
        </w:tc>
        <w:tc>
          <w:tcPr>
            <w:tcW w:type="dxa" w:w="5760"/>
          </w:tcPr>
          <w:p>
            <w:r>
              <w:rPr>
                <w:b/>
                <w:sz w:val="22"/>
              </w:rPr>
            </w:r>
          </w:p>
        </w:tc>
      </w:tr>
      <w:tr>
        <w:tc>
          <w:tcPr>
            <w:tcW w:type="dxa" w:w="2880"/>
          </w:tcPr>
          <w:p>
            <w:r>
              <w:rPr>
                <w:sz w:val="20"/>
              </w:rPr>
              <w:t>Submitted By</w:t>
            </w:r>
          </w:p>
        </w:tc>
        <w:tc>
          <w:tcPr>
            <w:tcW w:type="dxa" w:w="5760"/>
          </w:tcPr>
          <w:p>
            <w:r>
              <w:rPr>
                <w:sz w:val="20"/>
              </w:rPr>
              <w:t>[STUDENT NAME(S)]</w:t>
            </w:r>
          </w:p>
        </w:tc>
      </w:tr>
      <w:tr>
        <w:tc>
          <w:tcPr>
            <w:tcW w:type="dxa" w:w="2880"/>
          </w:tcPr>
          <w:p>
            <w:r>
              <w:rPr>
                <w:sz w:val="20"/>
              </w:rPr>
              <w:t>Roll No.</w:t>
            </w:r>
          </w:p>
        </w:tc>
        <w:tc>
          <w:tcPr>
            <w:tcW w:type="dxa" w:w="5760"/>
          </w:tcPr>
          <w:p>
            <w:r>
              <w:rPr>
                <w:sz w:val="20"/>
              </w:rPr>
              <w:t>[ROLL NUMBER(S)]</w:t>
            </w:r>
          </w:p>
        </w:tc>
      </w:tr>
      <w:tr>
        <w:tc>
          <w:tcPr>
            <w:tcW w:type="dxa" w:w="2880"/>
          </w:tcPr>
          <w:p>
            <w:r>
              <w:rPr>
                <w:sz w:val="20"/>
              </w:rPr>
              <w:t>Class</w:t>
            </w:r>
          </w:p>
        </w:tc>
        <w:tc>
          <w:tcPr>
            <w:tcW w:type="dxa" w:w="5760"/>
          </w:tcPr>
          <w:p>
            <w:r>
              <w:rPr>
                <w:sz w:val="20"/>
              </w:rPr>
              <w:t>TY AI/ML</w:t>
            </w:r>
          </w:p>
        </w:tc>
      </w:tr>
      <w:tr>
        <w:tc>
          <w:tcPr>
            <w:tcW w:type="dxa" w:w="2880"/>
          </w:tcPr>
          <w:p>
            <w:r>
              <w:rPr>
                <w:sz w:val="20"/>
              </w:rPr>
              <w:t>Academic Year</w:t>
            </w:r>
          </w:p>
        </w:tc>
        <w:tc>
          <w:tcPr>
            <w:tcW w:type="dxa" w:w="5760"/>
          </w:tcPr>
          <w:p>
            <w:r>
              <w:rPr>
                <w:sz w:val="20"/>
              </w:rPr>
              <w:t>2026–2027</w:t>
            </w:r>
          </w:p>
        </w:tc>
      </w:tr>
      <w:tr>
        <w:tc>
          <w:tcPr>
            <w:tcW w:type="dxa" w:w="2880"/>
          </w:tcPr>
          <w:p>
            <w:r>
              <w:rPr>
                <w:sz w:val="20"/>
              </w:rPr>
              <w:t>Project Guide</w:t>
            </w:r>
          </w:p>
        </w:tc>
        <w:tc>
          <w:tcPr>
            <w:tcW w:type="dxa" w:w="5760"/>
          </w:tcPr>
          <w:p>
            <w:r>
              <w:rPr>
                <w:sz w:val="20"/>
              </w:rPr>
              <w:t>[GUIDE NAME], Dept. of IT &amp; AI/ML</w:t>
            </w:r>
          </w:p>
        </w:tc>
      </w:tr>
      <w:tr>
        <w:tc>
          <w:tcPr>
            <w:tcW w:type="dxa" w:w="2880"/>
          </w:tcPr>
          <w:p>
            <w:r>
              <w:rPr>
                <w:sz w:val="20"/>
              </w:rPr>
              <w:t>Department</w:t>
            </w:r>
          </w:p>
        </w:tc>
        <w:tc>
          <w:tcPr>
            <w:tcW w:type="dxa" w:w="5760"/>
          </w:tcPr>
          <w:p>
            <w:r>
              <w:rPr>
                <w:sz w:val="20"/>
              </w:rPr>
              <w:t>Information Technology &amp; AI/ML</w:t>
            </w:r>
          </w:p>
        </w:tc>
      </w:tr>
      <w:tr>
        <w:tc>
          <w:tcPr>
            <w:tcW w:type="dxa" w:w="2880"/>
          </w:tcPr>
          <w:p>
            <w:r>
              <w:rPr>
                <w:sz w:val="20"/>
              </w:rPr>
              <w:t>Institute</w:t>
            </w:r>
          </w:p>
        </w:tc>
        <w:tc>
          <w:tcPr>
            <w:tcW w:type="dxa" w:w="5760"/>
          </w:tcPr>
          <w:p>
            <w:r>
              <w:rPr>
                <w:sz w:val="20"/>
              </w:rPr>
              <w:t>[COLLEGE NAME]</w:t>
            </w:r>
          </w:p>
        </w:tc>
      </w:tr>
    </w:tbl>
    <w:p/>
    <w:p>
      <w:r>
        <w:br w:type="page"/>
      </w:r>
    </w:p>
    <w:p>
      <w:pPr>
        <w:pStyle w:val="Heading1"/>
        <w:jc w:val="left"/>
      </w:pPr>
      <w:r>
        <w:t>Acknowledgments</w:t>
      </w:r>
    </w:p>
    <w:p>
      <w:pPr>
        <w:spacing w:after="120"/>
      </w:pPr>
      <w:r>
        <w:rPr>
          <w:rFonts w:ascii="Times New Roman" w:hAnsi="Times New Roman"/>
          <w:b w:val="0"/>
          <w:i w:val="0"/>
          <w:sz w:val="24"/>
        </w:rPr>
        <w:t>We are deeply thankful to Dr. S. K. Singh, Head of the Department of Information Technology and AI/ML, whose structured project format and departmental guidance gave us a clear framework within which to develop and present this work.</w:t>
      </w:r>
    </w:p>
    <w:p>
      <w:pPr>
        <w:spacing w:after="120"/>
      </w:pPr>
      <w:r>
        <w:rPr>
          <w:rFonts w:ascii="Times New Roman" w:hAnsi="Times New Roman"/>
          <w:b w:val="0"/>
          <w:i w:val="0"/>
          <w:sz w:val="24"/>
        </w:rPr>
        <w:t>Our heartfelt appreciation goes to our project guide, [GUIDE NAME], whose patient feedback, technical direction, and encouragement kept this project moving forward through every challenge. Discussions with our guide significantly sharpened our understanding of RAG pipeline design and AI safety considerations applicable to the legal domain.</w:t>
      </w:r>
    </w:p>
    <w:p>
      <w:pPr>
        <w:spacing w:after="120"/>
      </w:pPr>
      <w:r>
        <w:rPr>
          <w:rFonts w:ascii="Times New Roman" w:hAnsi="Times New Roman"/>
          <w:b w:val="0"/>
          <w:i w:val="0"/>
          <w:sz w:val="24"/>
        </w:rPr>
        <w:t>We extend our thanks to all faculty members of the Department of IT &amp; AI/ML who took time to offer feedback during informal reviews and whose courses laid the conceptual groundwork for this project.</w:t>
      </w:r>
    </w:p>
    <w:p>
      <w:pPr>
        <w:spacing w:after="120"/>
      </w:pPr>
      <w:r>
        <w:rPr>
          <w:rFonts w:ascii="Times New Roman" w:hAnsi="Times New Roman"/>
          <w:b w:val="0"/>
          <w:i w:val="0"/>
          <w:sz w:val="24"/>
        </w:rPr>
        <w:t>We acknowledge the open-source community whose work made this project technically viable: the BAAI research group for the bge-small-en-v1.5 embedding model, Microsoft Research for the MS MARCO MiniLM cross-encoder, Meta AI for the LLaMA 3.1 model distributed through Ollama, and the ChromaDB team for their lightweight persistent vector store. Without freely available, high-quality tools such as these, a project of this scope would require resources far beyond the academic setting.</w:t>
      </w:r>
    </w:p>
    <w:p>
      <w:pPr>
        <w:spacing w:after="120"/>
      </w:pPr>
      <w:r>
        <w:rPr>
          <w:rFonts w:ascii="Times New Roman" w:hAnsi="Times New Roman"/>
          <w:b w:val="0"/>
          <w:i w:val="0"/>
          <w:sz w:val="24"/>
        </w:rPr>
        <w:t>A special thanks to our classmates for their thoughtful questions during our informal presentations, which pushed us to think more carefully about edge cases in the verification pipeline. And to our families — thank you for accommodating late nights and project-dominated weekends with patience and humour.</w:t>
      </w:r>
    </w:p>
    <w:p/>
    <w:p>
      <w:pPr>
        <w:spacing w:after="120"/>
      </w:pPr>
      <w:r>
        <w:rPr>
          <w:rFonts w:ascii="Times New Roman" w:hAnsi="Times New Roman"/>
          <w:b/>
          <w:i w:val="0"/>
          <w:sz w:val="24"/>
        </w:rPr>
        <w:t>[STUDENT NAME(S)]</w:t>
        <w:br/>
        <w:t>TY AI/ML, 2026–2027</w:t>
      </w:r>
    </w:p>
    <w:p>
      <w:r>
        <w:br w:type="page"/>
      </w:r>
    </w:p>
    <w:p>
      <w:pPr>
        <w:pStyle w:val="Heading1"/>
        <w:jc w:val="left"/>
      </w:pPr>
      <w:r>
        <w:t>Table of Contents</w:t>
      </w:r>
    </w:p>
    <w:p>
      <w:pPr>
        <w:spacing w:after="40"/>
      </w:pPr>
      <w:r>
        <w:rPr>
          <w:rFonts w:ascii="Times New Roman" w:hAnsi="Times New Roman"/>
          <w:sz w:val="24"/>
        </w:rPr>
        <w:t>Acknowledgments</w:t>
      </w:r>
    </w:p>
    <w:p>
      <w:pPr>
        <w:spacing w:after="40"/>
      </w:pPr>
      <w:r>
        <w:rPr>
          <w:rFonts w:ascii="Times New Roman" w:hAnsi="Times New Roman"/>
          <w:sz w:val="24"/>
        </w:rPr>
        <w:t>Table of Contents</w:t>
      </w:r>
    </w:p>
    <w:p>
      <w:pPr>
        <w:spacing w:after="40"/>
      </w:pPr>
      <w:r>
        <w:rPr>
          <w:rFonts w:ascii="Times New Roman" w:hAnsi="Times New Roman"/>
          <w:sz w:val="24"/>
        </w:rPr>
        <w:t>Nomenclature</w:t>
      </w:r>
    </w:p>
    <w:p>
      <w:pPr>
        <w:spacing w:after="40"/>
      </w:pPr>
      <w:r>
        <w:rPr>
          <w:rFonts w:ascii="Times New Roman" w:hAnsi="Times New Roman"/>
          <w:sz w:val="24"/>
        </w:rPr>
        <w:t>Acronyms</w:t>
      </w:r>
    </w:p>
    <w:p>
      <w:pPr>
        <w:spacing w:after="40"/>
      </w:pPr>
      <w:r>
        <w:rPr>
          <w:rFonts w:ascii="Times New Roman" w:hAnsi="Times New Roman"/>
          <w:sz w:val="24"/>
        </w:rPr>
        <w:t>List of Figures</w:t>
      </w:r>
    </w:p>
    <w:p>
      <w:pPr>
        <w:spacing w:after="40"/>
      </w:pPr>
      <w:r>
        <w:rPr>
          <w:rFonts w:ascii="Times New Roman" w:hAnsi="Times New Roman"/>
          <w:sz w:val="24"/>
        </w:rPr>
        <w:t>List of Tables</w:t>
      </w:r>
    </w:p>
    <w:p>
      <w:pPr>
        <w:spacing w:after="40"/>
      </w:pPr>
      <w:r>
        <w:rPr>
          <w:rFonts w:ascii="Times New Roman" w:hAnsi="Times New Roman"/>
          <w:sz w:val="24"/>
        </w:rPr>
        <w:t>1.  Introduction</w:t>
      </w:r>
    </w:p>
    <w:p>
      <w:pPr>
        <w:spacing w:after="40"/>
      </w:pPr>
      <w:r>
        <w:rPr>
          <w:rFonts w:ascii="Times New Roman" w:hAnsi="Times New Roman"/>
          <w:sz w:val="24"/>
        </w:rPr>
        <w:t xml:space="preserve">    1.1  Background and Motivation</w:t>
      </w:r>
    </w:p>
    <w:p>
      <w:pPr>
        <w:spacing w:after="40"/>
      </w:pPr>
      <w:r>
        <w:rPr>
          <w:rFonts w:ascii="Times New Roman" w:hAnsi="Times New Roman"/>
          <w:sz w:val="24"/>
        </w:rPr>
        <w:t xml:space="preserve">    1.2  Overview</w:t>
      </w:r>
    </w:p>
    <w:p>
      <w:pPr>
        <w:spacing w:after="40"/>
      </w:pPr>
      <w:r>
        <w:rPr>
          <w:rFonts w:ascii="Times New Roman" w:hAnsi="Times New Roman"/>
          <w:sz w:val="24"/>
        </w:rPr>
        <w:t xml:space="preserve">    1.3  Research Goals and Approach</w:t>
      </w:r>
    </w:p>
    <w:p>
      <w:pPr>
        <w:spacing w:after="40"/>
      </w:pPr>
      <w:r>
        <w:rPr>
          <w:rFonts w:ascii="Times New Roman" w:hAnsi="Times New Roman"/>
          <w:sz w:val="24"/>
        </w:rPr>
        <w:t>2.  Literature Review</w:t>
      </w:r>
    </w:p>
    <w:p>
      <w:pPr>
        <w:spacing w:after="40"/>
      </w:pPr>
      <w:r>
        <w:rPr>
          <w:rFonts w:ascii="Times New Roman" w:hAnsi="Times New Roman"/>
          <w:sz w:val="24"/>
        </w:rPr>
        <w:t xml:space="preserve">    2.1  Research Statement (Summary of Literature Review)</w:t>
      </w:r>
    </w:p>
    <w:p>
      <w:pPr>
        <w:spacing w:after="40"/>
      </w:pPr>
      <w:r>
        <w:rPr>
          <w:rFonts w:ascii="Times New Roman" w:hAnsi="Times New Roman"/>
          <w:sz w:val="24"/>
        </w:rPr>
        <w:t>3.  Architecture and Design</w:t>
      </w:r>
    </w:p>
    <w:p>
      <w:pPr>
        <w:spacing w:after="40"/>
      </w:pPr>
      <w:r>
        <w:rPr>
          <w:rFonts w:ascii="Times New Roman" w:hAnsi="Times New Roman"/>
          <w:sz w:val="24"/>
        </w:rPr>
        <w:t xml:space="preserve">    3.1  Design Strategy</w:t>
      </w:r>
    </w:p>
    <w:p>
      <w:pPr>
        <w:spacing w:after="40"/>
      </w:pPr>
      <w:r>
        <w:rPr>
          <w:rFonts w:ascii="Times New Roman" w:hAnsi="Times New Roman"/>
          <w:sz w:val="24"/>
        </w:rPr>
        <w:t xml:space="preserve">    3.2  Parametric Analysis</w:t>
      </w:r>
    </w:p>
    <w:p>
      <w:pPr>
        <w:spacing w:after="40"/>
      </w:pPr>
      <w:r>
        <w:rPr>
          <w:rFonts w:ascii="Times New Roman" w:hAnsi="Times New Roman"/>
          <w:sz w:val="24"/>
        </w:rPr>
        <w:t xml:space="preserve">    3.3  Sensitivity and Uncertainty Analysis</w:t>
      </w:r>
    </w:p>
    <w:p>
      <w:pPr>
        <w:spacing w:after="40"/>
      </w:pPr>
      <w:r>
        <w:rPr>
          <w:rFonts w:ascii="Times New Roman" w:hAnsi="Times New Roman"/>
          <w:sz w:val="24"/>
        </w:rPr>
        <w:t xml:space="preserve">    3.4  Component-Level Design Details</w:t>
      </w:r>
    </w:p>
    <w:p>
      <w:pPr>
        <w:spacing w:after="40"/>
      </w:pPr>
      <w:r>
        <w:rPr>
          <w:rFonts w:ascii="Times New Roman" w:hAnsi="Times New Roman"/>
          <w:sz w:val="24"/>
        </w:rPr>
        <w:t>4.  Methodology / Algorithm Used and Proposed Solution</w:t>
      </w:r>
    </w:p>
    <w:p>
      <w:pPr>
        <w:spacing w:after="40"/>
      </w:pPr>
      <w:r>
        <w:rPr>
          <w:rFonts w:ascii="Times New Roman" w:hAnsi="Times New Roman"/>
          <w:sz w:val="24"/>
        </w:rPr>
        <w:t xml:space="preserve">    4.1  Document Ingestion Pipeline</w:t>
      </w:r>
    </w:p>
    <w:p>
      <w:pPr>
        <w:spacing w:after="40"/>
      </w:pPr>
      <w:r>
        <w:rPr>
          <w:rFonts w:ascii="Times New Roman" w:hAnsi="Times New Roman"/>
          <w:sz w:val="24"/>
        </w:rPr>
        <w:t xml:space="preserve">    4.2  Hybrid Retrieval Algorithm</w:t>
      </w:r>
    </w:p>
    <w:p>
      <w:pPr>
        <w:spacing w:after="40"/>
      </w:pPr>
      <w:r>
        <w:rPr>
          <w:rFonts w:ascii="Times New Roman" w:hAnsi="Times New Roman"/>
          <w:sz w:val="24"/>
        </w:rPr>
        <w:t xml:space="preserve">    4.3  Query Expansion Module</w:t>
      </w:r>
    </w:p>
    <w:p>
      <w:pPr>
        <w:spacing w:after="40"/>
      </w:pPr>
      <w:r>
        <w:rPr>
          <w:rFonts w:ascii="Times New Roman" w:hAnsi="Times New Roman"/>
          <w:sz w:val="24"/>
        </w:rPr>
        <w:t xml:space="preserve">    4.4  Reranking Mechanism</w:t>
      </w:r>
    </w:p>
    <w:p>
      <w:pPr>
        <w:spacing w:after="40"/>
      </w:pPr>
      <w:r>
        <w:rPr>
          <w:rFonts w:ascii="Times New Roman" w:hAnsi="Times New Roman"/>
          <w:sz w:val="24"/>
        </w:rPr>
        <w:t xml:space="preserve">    4.5  Answer Generation Module</w:t>
      </w:r>
    </w:p>
    <w:p>
      <w:pPr>
        <w:spacing w:after="40"/>
      </w:pPr>
      <w:r>
        <w:rPr>
          <w:rFonts w:ascii="Times New Roman" w:hAnsi="Times New Roman"/>
          <w:sz w:val="24"/>
        </w:rPr>
        <w:t xml:space="preserve">    4.6  Chain-of-Verification Algorithm</w:t>
      </w:r>
    </w:p>
    <w:p>
      <w:pPr>
        <w:spacing w:after="40"/>
      </w:pPr>
      <w:r>
        <w:rPr>
          <w:rFonts w:ascii="Times New Roman" w:hAnsi="Times New Roman"/>
          <w:sz w:val="24"/>
        </w:rPr>
        <w:t xml:space="preserve">    4.7  Confidence Scoring Algorithm</w:t>
      </w:r>
    </w:p>
    <w:p>
      <w:pPr>
        <w:spacing w:after="40"/>
      </w:pPr>
      <w:r>
        <w:rPr>
          <w:rFonts w:ascii="Times New Roman" w:hAnsi="Times New Roman"/>
          <w:sz w:val="24"/>
        </w:rPr>
        <w:t xml:space="preserve">    4.8  Safety Guardrail Design</w:t>
      </w:r>
    </w:p>
    <w:p>
      <w:r>
        <w:br w:type="page"/>
      </w:r>
    </w:p>
    <w:p>
      <w:pPr>
        <w:pStyle w:val="Heading1"/>
        <w:jc w:val="left"/>
      </w:pPr>
      <w:r>
        <w:t>Nomenclature</w:t>
      </w:r>
    </w:p>
    <w:tbl>
      <w:tblPr>
        <w:tblStyle w:val="TableGrid"/>
        <w:tblW w:type="auto" w:w="0"/>
        <w:tblLook w:firstColumn="1" w:firstRow="1" w:lastColumn="0" w:lastRow="0" w:noHBand="0" w:noVBand="1" w:val="04A0"/>
      </w:tblPr>
      <w:tblGrid>
        <w:gridCol w:w="4320"/>
        <w:gridCol w:w="4320"/>
      </w:tblGrid>
      <w:tr>
        <w:tc>
          <w:tcPr>
            <w:tcW w:type="dxa" w:w="2160"/>
          </w:tcPr>
          <w:p>
            <w:r>
              <w:rPr>
                <w:b/>
                <w:sz w:val="22"/>
              </w:rPr>
              <w:t>Symbol / Term</w:t>
            </w:r>
          </w:p>
        </w:tc>
        <w:tc>
          <w:tcPr>
            <w:tcW w:type="dxa" w:w="6480"/>
          </w:tcPr>
          <w:p>
            <w:r>
              <w:rPr>
                <w:b/>
                <w:sz w:val="22"/>
              </w:rPr>
              <w:t>Definition</w:t>
            </w:r>
          </w:p>
        </w:tc>
      </w:tr>
      <w:tr>
        <w:tc>
          <w:tcPr>
            <w:tcW w:type="dxa" w:w="2160"/>
          </w:tcPr>
          <w:p>
            <w:r>
              <w:rPr>
                <w:sz w:val="20"/>
              </w:rPr>
              <w:t>k</w:t>
            </w:r>
          </w:p>
        </w:tc>
        <w:tc>
          <w:tcPr>
            <w:tcW w:type="dxa" w:w="6480"/>
          </w:tcPr>
          <w:p>
            <w:r>
              <w:rPr>
                <w:sz w:val="20"/>
              </w:rPr>
              <w:t>Number of top results retrieved from the vector store in the initial retrieval stage</w:t>
            </w:r>
          </w:p>
        </w:tc>
      </w:tr>
      <w:tr>
        <w:tc>
          <w:tcPr>
            <w:tcW w:type="dxa" w:w="2160"/>
          </w:tcPr>
          <w:p>
            <w:r>
              <w:rPr>
                <w:sz w:val="20"/>
              </w:rPr>
              <w:t>k'</w:t>
            </w:r>
          </w:p>
        </w:tc>
        <w:tc>
          <w:tcPr>
            <w:tcW w:type="dxa" w:w="6480"/>
          </w:tcPr>
          <w:p>
            <w:r>
              <w:rPr>
                <w:sz w:val="20"/>
              </w:rPr>
              <w:t>Number of results retained after the cross-encoder reranking stage</w:t>
            </w:r>
          </w:p>
        </w:tc>
      </w:tr>
      <w:tr>
        <w:tc>
          <w:tcPr>
            <w:tcW w:type="dxa" w:w="2160"/>
          </w:tcPr>
          <w:p>
            <w:r>
              <w:rPr>
                <w:sz w:val="20"/>
              </w:rPr>
              <w:t>θ</w:t>
            </w:r>
          </w:p>
        </w:tc>
        <w:tc>
          <w:tcPr>
            <w:tcW w:type="dxa" w:w="6480"/>
          </w:tcPr>
          <w:p>
            <w:r>
              <w:rPr>
                <w:sz w:val="20"/>
              </w:rPr>
              <w:t>Relevance threshold; cross-encoder logit score below which a chunk is discarded</w:t>
            </w:r>
          </w:p>
        </w:tc>
      </w:tr>
      <w:tr>
        <w:tc>
          <w:tcPr>
            <w:tcW w:type="dxa" w:w="2160"/>
          </w:tcPr>
          <w:p>
            <w:r>
              <w:rPr>
                <w:sz w:val="20"/>
              </w:rPr>
              <w:t>C(q)</w:t>
            </w:r>
          </w:p>
        </w:tc>
        <w:tc>
          <w:tcPr>
            <w:tcW w:type="dxa" w:w="6480"/>
          </w:tcPr>
          <w:p>
            <w:r>
              <w:rPr>
                <w:sz w:val="20"/>
              </w:rPr>
              <w:t>Set of candidate chunks retrieved for query q</w:t>
            </w:r>
          </w:p>
        </w:tc>
      </w:tr>
      <w:tr>
        <w:tc>
          <w:tcPr>
            <w:tcW w:type="dxa" w:w="2160"/>
          </w:tcPr>
          <w:p>
            <w:r>
              <w:rPr>
                <w:sz w:val="20"/>
              </w:rPr>
              <w:t>R(q)</w:t>
            </w:r>
          </w:p>
        </w:tc>
        <w:tc>
          <w:tcPr>
            <w:tcW w:type="dxa" w:w="6480"/>
          </w:tcPr>
          <w:p>
            <w:r>
              <w:rPr>
                <w:sz w:val="20"/>
              </w:rPr>
              <w:t>Set of retained chunks after reranking</w:t>
            </w:r>
          </w:p>
        </w:tc>
      </w:tr>
      <w:tr>
        <w:tc>
          <w:tcPr>
            <w:tcW w:type="dxa" w:w="2160"/>
          </w:tcPr>
          <w:p>
            <w:r>
              <w:rPr>
                <w:sz w:val="20"/>
              </w:rPr>
              <w:t>V(c)</w:t>
            </w:r>
          </w:p>
        </w:tc>
        <w:tc>
          <w:tcPr>
            <w:tcW w:type="dxa" w:w="6480"/>
          </w:tcPr>
          <w:p>
            <w:r>
              <w:rPr>
                <w:sz w:val="20"/>
              </w:rPr>
              <w:t>Verification ratio; fraction of claims in answer supported by evidence chunks c</w:t>
            </w:r>
          </w:p>
        </w:tc>
      </w:tr>
      <w:tr>
        <w:tc>
          <w:tcPr>
            <w:tcW w:type="dxa" w:w="2160"/>
          </w:tcPr>
          <w:p>
            <w:r>
              <w:rPr>
                <w:sz w:val="20"/>
              </w:rPr>
              <w:t>S</w:t>
            </w:r>
          </w:p>
        </w:tc>
        <w:tc>
          <w:tcPr>
            <w:tcW w:type="dxa" w:w="6480"/>
          </w:tcPr>
          <w:p>
            <w:r>
              <w:rPr>
                <w:sz w:val="20"/>
              </w:rPr>
              <w:t>Composite confidence score; a weighted combination of verification ratio and retrieval quality</w:t>
            </w:r>
          </w:p>
        </w:tc>
      </w:tr>
      <w:tr>
        <w:tc>
          <w:tcPr>
            <w:tcW w:type="dxa" w:w="2160"/>
          </w:tcPr>
          <w:p>
            <w:r>
              <w:rPr>
                <w:sz w:val="20"/>
              </w:rPr>
              <w:t>E(t)</w:t>
            </w:r>
          </w:p>
        </w:tc>
        <w:tc>
          <w:tcPr>
            <w:tcW w:type="dxa" w:w="6480"/>
          </w:tcPr>
          <w:p>
            <w:r>
              <w:rPr>
                <w:sz w:val="20"/>
              </w:rPr>
              <w:t>Dense embedding vector for text t, produced by the bi-encoder model</w:t>
            </w:r>
          </w:p>
        </w:tc>
      </w:tr>
      <w:tr>
        <w:tc>
          <w:tcPr>
            <w:tcW w:type="dxa" w:w="2160"/>
          </w:tcPr>
          <w:p>
            <w:r>
              <w:rPr>
                <w:sz w:val="20"/>
              </w:rPr>
              <w:t>BM25(q, d)</w:t>
            </w:r>
          </w:p>
        </w:tc>
        <w:tc>
          <w:tcPr>
            <w:tcW w:type="dxa" w:w="6480"/>
          </w:tcPr>
          <w:p>
            <w:r>
              <w:rPr>
                <w:sz w:val="20"/>
              </w:rPr>
              <w:t>BM25 sparse relevance score between query q and document d</w:t>
            </w:r>
          </w:p>
        </w:tc>
      </w:tr>
      <w:tr>
        <w:tc>
          <w:tcPr>
            <w:tcW w:type="dxa" w:w="2160"/>
          </w:tcPr>
          <w:p>
            <w:r>
              <w:rPr>
                <w:sz w:val="20"/>
              </w:rPr>
              <w:t>RRF(rank)</w:t>
            </w:r>
          </w:p>
        </w:tc>
        <w:tc>
          <w:tcPr>
            <w:tcW w:type="dxa" w:w="6480"/>
          </w:tcPr>
          <w:p>
            <w:r>
              <w:rPr>
                <w:sz w:val="20"/>
              </w:rPr>
              <w:t>Reciprocal Rank Fusion score for a document at a given rank position</w:t>
            </w:r>
          </w:p>
        </w:tc>
      </w:tr>
    </w:tbl>
    <w:p/>
    <w:p>
      <w:r>
        <w:br w:type="page"/>
      </w:r>
    </w:p>
    <w:p>
      <w:pPr>
        <w:pStyle w:val="Heading1"/>
        <w:jc w:val="left"/>
      </w:pPr>
      <w:r>
        <w:t>Acronyms</w:t>
      </w:r>
    </w:p>
    <w:tbl>
      <w:tblPr>
        <w:tblStyle w:val="TableGrid"/>
        <w:tblW w:type="auto" w:w="0"/>
        <w:tblLook w:firstColumn="1" w:firstRow="1" w:lastColumn="0" w:lastRow="0" w:noHBand="0" w:noVBand="1" w:val="04A0"/>
      </w:tblPr>
      <w:tblGrid>
        <w:gridCol w:w="4320"/>
        <w:gridCol w:w="4320"/>
      </w:tblGrid>
      <w:tr>
        <w:tc>
          <w:tcPr>
            <w:tcW w:type="dxa" w:w="1728"/>
          </w:tcPr>
          <w:p>
            <w:r>
              <w:rPr>
                <w:b/>
                <w:sz w:val="22"/>
              </w:rPr>
              <w:t>Acronym</w:t>
            </w:r>
          </w:p>
        </w:tc>
        <w:tc>
          <w:tcPr>
            <w:tcW w:type="dxa" w:w="6912"/>
          </w:tcPr>
          <w:p>
            <w:r>
              <w:rPr>
                <w:b/>
                <w:sz w:val="22"/>
              </w:rPr>
              <w:t>Full Form</w:t>
            </w:r>
          </w:p>
        </w:tc>
      </w:tr>
      <w:tr>
        <w:tc>
          <w:tcPr>
            <w:tcW w:type="dxa" w:w="1728"/>
          </w:tcPr>
          <w:p>
            <w:r>
              <w:rPr>
                <w:sz w:val="20"/>
              </w:rPr>
              <w:t>RAG</w:t>
            </w:r>
          </w:p>
        </w:tc>
        <w:tc>
          <w:tcPr>
            <w:tcW w:type="dxa" w:w="6912"/>
          </w:tcPr>
          <w:p>
            <w:r>
              <w:rPr>
                <w:sz w:val="20"/>
              </w:rPr>
              <w:t>Retrieval-Augmented Generation</w:t>
            </w:r>
          </w:p>
        </w:tc>
      </w:tr>
      <w:tr>
        <w:tc>
          <w:tcPr>
            <w:tcW w:type="dxa" w:w="1728"/>
          </w:tcPr>
          <w:p>
            <w:r>
              <w:rPr>
                <w:sz w:val="20"/>
              </w:rPr>
              <w:t>LLM</w:t>
            </w:r>
          </w:p>
        </w:tc>
        <w:tc>
          <w:tcPr>
            <w:tcW w:type="dxa" w:w="6912"/>
          </w:tcPr>
          <w:p>
            <w:r>
              <w:rPr>
                <w:sz w:val="20"/>
              </w:rPr>
              <w:t>Large Language Model</w:t>
            </w:r>
          </w:p>
        </w:tc>
      </w:tr>
      <w:tr>
        <w:tc>
          <w:tcPr>
            <w:tcW w:type="dxa" w:w="1728"/>
          </w:tcPr>
          <w:p>
            <w:r>
              <w:rPr>
                <w:sz w:val="20"/>
              </w:rPr>
              <w:t>NLP</w:t>
            </w:r>
          </w:p>
        </w:tc>
        <w:tc>
          <w:tcPr>
            <w:tcW w:type="dxa" w:w="6912"/>
          </w:tcPr>
          <w:p>
            <w:r>
              <w:rPr>
                <w:sz w:val="20"/>
              </w:rPr>
              <w:t>Natural Language Processing</w:t>
            </w:r>
          </w:p>
        </w:tc>
      </w:tr>
      <w:tr>
        <w:tc>
          <w:tcPr>
            <w:tcW w:type="dxa" w:w="1728"/>
          </w:tcPr>
          <w:p>
            <w:r>
              <w:rPr>
                <w:sz w:val="20"/>
              </w:rPr>
              <w:t>BNS</w:t>
            </w:r>
          </w:p>
        </w:tc>
        <w:tc>
          <w:tcPr>
            <w:tcW w:type="dxa" w:w="6912"/>
          </w:tcPr>
          <w:p>
            <w:r>
              <w:rPr>
                <w:sz w:val="20"/>
              </w:rPr>
              <w:t>Bharatiya Nyaya Sanhita</w:t>
            </w:r>
          </w:p>
        </w:tc>
      </w:tr>
      <w:tr>
        <w:tc>
          <w:tcPr>
            <w:tcW w:type="dxa" w:w="1728"/>
          </w:tcPr>
          <w:p>
            <w:r>
              <w:rPr>
                <w:sz w:val="20"/>
              </w:rPr>
              <w:t>BNSS</w:t>
            </w:r>
          </w:p>
        </w:tc>
        <w:tc>
          <w:tcPr>
            <w:tcW w:type="dxa" w:w="6912"/>
          </w:tcPr>
          <w:p>
            <w:r>
              <w:rPr>
                <w:sz w:val="20"/>
              </w:rPr>
              <w:t>Bharatiya Nagarik Suraksha Sanhita</w:t>
            </w:r>
          </w:p>
        </w:tc>
      </w:tr>
      <w:tr>
        <w:tc>
          <w:tcPr>
            <w:tcW w:type="dxa" w:w="1728"/>
          </w:tcPr>
          <w:p>
            <w:r>
              <w:rPr>
                <w:sz w:val="20"/>
              </w:rPr>
              <w:t>BSA</w:t>
            </w:r>
          </w:p>
        </w:tc>
        <w:tc>
          <w:tcPr>
            <w:tcW w:type="dxa" w:w="6912"/>
          </w:tcPr>
          <w:p>
            <w:r>
              <w:rPr>
                <w:sz w:val="20"/>
              </w:rPr>
              <w:t>Bharatiya Sakshya Adhiniyam</w:t>
            </w:r>
          </w:p>
        </w:tc>
      </w:tr>
      <w:tr>
        <w:tc>
          <w:tcPr>
            <w:tcW w:type="dxa" w:w="1728"/>
          </w:tcPr>
          <w:p>
            <w:r>
              <w:rPr>
                <w:sz w:val="20"/>
              </w:rPr>
              <w:t>IPC</w:t>
            </w:r>
          </w:p>
        </w:tc>
        <w:tc>
          <w:tcPr>
            <w:tcW w:type="dxa" w:w="6912"/>
          </w:tcPr>
          <w:p>
            <w:r>
              <w:rPr>
                <w:sz w:val="20"/>
              </w:rPr>
              <w:t>Indian Penal Code</w:t>
            </w:r>
          </w:p>
        </w:tc>
      </w:tr>
      <w:tr>
        <w:tc>
          <w:tcPr>
            <w:tcW w:type="dxa" w:w="1728"/>
          </w:tcPr>
          <w:p>
            <w:r>
              <w:rPr>
                <w:sz w:val="20"/>
              </w:rPr>
              <w:t>CrPC</w:t>
            </w:r>
          </w:p>
        </w:tc>
        <w:tc>
          <w:tcPr>
            <w:tcW w:type="dxa" w:w="6912"/>
          </w:tcPr>
          <w:p>
            <w:r>
              <w:rPr>
                <w:sz w:val="20"/>
              </w:rPr>
              <w:t>Code of Criminal Procedure</w:t>
            </w:r>
          </w:p>
        </w:tc>
      </w:tr>
      <w:tr>
        <w:tc>
          <w:tcPr>
            <w:tcW w:type="dxa" w:w="1728"/>
          </w:tcPr>
          <w:p>
            <w:r>
              <w:rPr>
                <w:sz w:val="20"/>
              </w:rPr>
              <w:t>IEA</w:t>
            </w:r>
          </w:p>
        </w:tc>
        <w:tc>
          <w:tcPr>
            <w:tcW w:type="dxa" w:w="6912"/>
          </w:tcPr>
          <w:p>
            <w:r>
              <w:rPr>
                <w:sz w:val="20"/>
              </w:rPr>
              <w:t>Indian Evidence Act</w:t>
            </w:r>
          </w:p>
        </w:tc>
      </w:tr>
      <w:tr>
        <w:tc>
          <w:tcPr>
            <w:tcW w:type="dxa" w:w="1728"/>
          </w:tcPr>
          <w:p>
            <w:r>
              <w:rPr>
                <w:sz w:val="20"/>
              </w:rPr>
              <w:t>PDF</w:t>
            </w:r>
          </w:p>
        </w:tc>
        <w:tc>
          <w:tcPr>
            <w:tcW w:type="dxa" w:w="6912"/>
          </w:tcPr>
          <w:p>
            <w:r>
              <w:rPr>
                <w:sz w:val="20"/>
              </w:rPr>
              <w:t>Portable Document Format</w:t>
            </w:r>
          </w:p>
        </w:tc>
      </w:tr>
      <w:tr>
        <w:tc>
          <w:tcPr>
            <w:tcW w:type="dxa" w:w="1728"/>
          </w:tcPr>
          <w:p>
            <w:r>
              <w:rPr>
                <w:sz w:val="20"/>
              </w:rPr>
              <w:t>API</w:t>
            </w:r>
          </w:p>
        </w:tc>
        <w:tc>
          <w:tcPr>
            <w:tcW w:type="dxa" w:w="6912"/>
          </w:tcPr>
          <w:p>
            <w:r>
              <w:rPr>
                <w:sz w:val="20"/>
              </w:rPr>
              <w:t>Application Programming Interface</w:t>
            </w:r>
          </w:p>
        </w:tc>
      </w:tr>
      <w:tr>
        <w:tc>
          <w:tcPr>
            <w:tcW w:type="dxa" w:w="1728"/>
          </w:tcPr>
          <w:p>
            <w:r>
              <w:rPr>
                <w:sz w:val="20"/>
              </w:rPr>
              <w:t>CUDA</w:t>
            </w:r>
          </w:p>
        </w:tc>
        <w:tc>
          <w:tcPr>
            <w:tcW w:type="dxa" w:w="6912"/>
          </w:tcPr>
          <w:p>
            <w:r>
              <w:rPr>
                <w:sz w:val="20"/>
              </w:rPr>
              <w:t>Compute Unified Device Architecture</w:t>
            </w:r>
          </w:p>
        </w:tc>
      </w:tr>
      <w:tr>
        <w:tc>
          <w:tcPr>
            <w:tcW w:type="dxa" w:w="1728"/>
          </w:tcPr>
          <w:p>
            <w:r>
              <w:rPr>
                <w:sz w:val="20"/>
              </w:rPr>
              <w:t>CPU</w:t>
            </w:r>
          </w:p>
        </w:tc>
        <w:tc>
          <w:tcPr>
            <w:tcW w:type="dxa" w:w="6912"/>
          </w:tcPr>
          <w:p>
            <w:r>
              <w:rPr>
                <w:sz w:val="20"/>
              </w:rPr>
              <w:t>Central Processing Unit</w:t>
            </w:r>
          </w:p>
        </w:tc>
      </w:tr>
      <w:tr>
        <w:tc>
          <w:tcPr>
            <w:tcW w:type="dxa" w:w="1728"/>
          </w:tcPr>
          <w:p>
            <w:r>
              <w:rPr>
                <w:sz w:val="20"/>
              </w:rPr>
              <w:t>GPU</w:t>
            </w:r>
          </w:p>
        </w:tc>
        <w:tc>
          <w:tcPr>
            <w:tcW w:type="dxa" w:w="6912"/>
          </w:tcPr>
          <w:p>
            <w:r>
              <w:rPr>
                <w:sz w:val="20"/>
              </w:rPr>
              <w:t>Graphics Processing Unit</w:t>
            </w:r>
          </w:p>
        </w:tc>
      </w:tr>
      <w:tr>
        <w:tc>
          <w:tcPr>
            <w:tcW w:type="dxa" w:w="1728"/>
          </w:tcPr>
          <w:p>
            <w:r>
              <w:rPr>
                <w:sz w:val="20"/>
              </w:rPr>
              <w:t>RRF</w:t>
            </w:r>
          </w:p>
        </w:tc>
        <w:tc>
          <w:tcPr>
            <w:tcW w:type="dxa" w:w="6912"/>
          </w:tcPr>
          <w:p>
            <w:r>
              <w:rPr>
                <w:sz w:val="20"/>
              </w:rPr>
              <w:t>Reciprocal Rank Fusion</w:t>
            </w:r>
          </w:p>
        </w:tc>
      </w:tr>
      <w:tr>
        <w:tc>
          <w:tcPr>
            <w:tcW w:type="dxa" w:w="1728"/>
          </w:tcPr>
          <w:p>
            <w:r>
              <w:rPr>
                <w:sz w:val="20"/>
              </w:rPr>
              <w:t>BM25</w:t>
            </w:r>
          </w:p>
        </w:tc>
        <w:tc>
          <w:tcPr>
            <w:tcW w:type="dxa" w:w="6912"/>
          </w:tcPr>
          <w:p>
            <w:r>
              <w:rPr>
                <w:sz w:val="20"/>
              </w:rPr>
              <w:t>Best Match 25 (Okapi BM25 ranking function)</w:t>
            </w:r>
          </w:p>
        </w:tc>
      </w:tr>
      <w:tr>
        <w:tc>
          <w:tcPr>
            <w:tcW w:type="dxa" w:w="1728"/>
          </w:tcPr>
          <w:p>
            <w:r>
              <w:rPr>
                <w:sz w:val="20"/>
              </w:rPr>
              <w:t>TF-IDF</w:t>
            </w:r>
          </w:p>
        </w:tc>
        <w:tc>
          <w:tcPr>
            <w:tcW w:type="dxa" w:w="6912"/>
          </w:tcPr>
          <w:p>
            <w:r>
              <w:rPr>
                <w:sz w:val="20"/>
              </w:rPr>
              <w:t>Term Frequency–Inverse Document Frequency</w:t>
            </w:r>
          </w:p>
        </w:tc>
      </w:tr>
      <w:tr>
        <w:tc>
          <w:tcPr>
            <w:tcW w:type="dxa" w:w="1728"/>
          </w:tcPr>
          <w:p>
            <w:r>
              <w:rPr>
                <w:sz w:val="20"/>
              </w:rPr>
              <w:t>CoVe</w:t>
            </w:r>
          </w:p>
        </w:tc>
        <w:tc>
          <w:tcPr>
            <w:tcW w:type="dxa" w:w="6912"/>
          </w:tcPr>
          <w:p>
            <w:r>
              <w:rPr>
                <w:sz w:val="20"/>
              </w:rPr>
              <w:t>Chain-of-Verification</w:t>
            </w:r>
          </w:p>
        </w:tc>
      </w:tr>
      <w:tr>
        <w:tc>
          <w:tcPr>
            <w:tcW w:type="dxa" w:w="1728"/>
          </w:tcPr>
          <w:p>
            <w:r>
              <w:rPr>
                <w:sz w:val="20"/>
              </w:rPr>
              <w:t>NALSA</w:t>
            </w:r>
          </w:p>
        </w:tc>
        <w:tc>
          <w:tcPr>
            <w:tcW w:type="dxa" w:w="6912"/>
          </w:tcPr>
          <w:p>
            <w:r>
              <w:rPr>
                <w:sz w:val="20"/>
              </w:rPr>
              <w:t>National Legal Services Authority</w:t>
            </w:r>
          </w:p>
        </w:tc>
      </w:tr>
      <w:tr>
        <w:tc>
          <w:tcPr>
            <w:tcW w:type="dxa" w:w="1728"/>
          </w:tcPr>
          <w:p>
            <w:r>
              <w:rPr>
                <w:sz w:val="20"/>
              </w:rPr>
              <w:t>RTI</w:t>
            </w:r>
          </w:p>
        </w:tc>
        <w:tc>
          <w:tcPr>
            <w:tcW w:type="dxa" w:w="6912"/>
          </w:tcPr>
          <w:p>
            <w:r>
              <w:rPr>
                <w:sz w:val="20"/>
              </w:rPr>
              <w:t>Right to Information</w:t>
            </w:r>
          </w:p>
        </w:tc>
      </w:tr>
      <w:tr>
        <w:tc>
          <w:tcPr>
            <w:tcW w:type="dxa" w:w="1728"/>
          </w:tcPr>
          <w:p>
            <w:r>
              <w:rPr>
                <w:sz w:val="20"/>
              </w:rPr>
              <w:t>IT Act</w:t>
            </w:r>
          </w:p>
        </w:tc>
        <w:tc>
          <w:tcPr>
            <w:tcW w:type="dxa" w:w="6912"/>
          </w:tcPr>
          <w:p>
            <w:r>
              <w:rPr>
                <w:sz w:val="20"/>
              </w:rPr>
              <w:t>Information Technology Act</w:t>
            </w:r>
          </w:p>
        </w:tc>
      </w:tr>
      <w:tr>
        <w:tc>
          <w:tcPr>
            <w:tcW w:type="dxa" w:w="1728"/>
          </w:tcPr>
          <w:p>
            <w:r>
              <w:rPr>
                <w:sz w:val="20"/>
              </w:rPr>
              <w:t>IBC</w:t>
            </w:r>
          </w:p>
        </w:tc>
        <w:tc>
          <w:tcPr>
            <w:tcW w:type="dxa" w:w="6912"/>
          </w:tcPr>
          <w:p>
            <w:r>
              <w:rPr>
                <w:sz w:val="20"/>
              </w:rPr>
              <w:t>Insolvency and Bankruptcy Code</w:t>
            </w:r>
          </w:p>
        </w:tc>
      </w:tr>
      <w:tr>
        <w:tc>
          <w:tcPr>
            <w:tcW w:type="dxa" w:w="1728"/>
          </w:tcPr>
          <w:p>
            <w:r>
              <w:rPr>
                <w:sz w:val="20"/>
              </w:rPr>
              <w:t>EPF</w:t>
            </w:r>
          </w:p>
        </w:tc>
        <w:tc>
          <w:tcPr>
            <w:tcW w:type="dxa" w:w="6912"/>
          </w:tcPr>
          <w:p>
            <w:r>
              <w:rPr>
                <w:sz w:val="20"/>
              </w:rPr>
              <w:t>Employees' Provident Fund</w:t>
            </w:r>
          </w:p>
        </w:tc>
      </w:tr>
      <w:tr>
        <w:tc>
          <w:tcPr>
            <w:tcW w:type="dxa" w:w="1728"/>
          </w:tcPr>
          <w:p>
            <w:r>
              <w:rPr>
                <w:sz w:val="20"/>
              </w:rPr>
              <w:t>GI</w:t>
            </w:r>
          </w:p>
        </w:tc>
        <w:tc>
          <w:tcPr>
            <w:tcW w:type="dxa" w:w="6912"/>
          </w:tcPr>
          <w:p>
            <w:r>
              <w:rPr>
                <w:sz w:val="20"/>
              </w:rPr>
              <w:t>Geographical Indications</w:t>
            </w:r>
          </w:p>
        </w:tc>
      </w:tr>
      <w:tr>
        <w:tc>
          <w:tcPr>
            <w:tcW w:type="dxa" w:w="1728"/>
          </w:tcPr>
          <w:p>
            <w:r>
              <w:rPr>
                <w:sz w:val="20"/>
              </w:rPr>
              <w:t>GST</w:t>
            </w:r>
          </w:p>
        </w:tc>
        <w:tc>
          <w:tcPr>
            <w:tcW w:type="dxa" w:w="6912"/>
          </w:tcPr>
          <w:p>
            <w:r>
              <w:rPr>
                <w:sz w:val="20"/>
              </w:rPr>
              <w:t>Goods and Services Tax</w:t>
            </w:r>
          </w:p>
        </w:tc>
      </w:tr>
      <w:tr>
        <w:tc>
          <w:tcPr>
            <w:tcW w:type="dxa" w:w="1728"/>
          </w:tcPr>
          <w:p>
            <w:r>
              <w:rPr>
                <w:sz w:val="20"/>
              </w:rPr>
              <w:t>UI</w:t>
            </w:r>
          </w:p>
        </w:tc>
        <w:tc>
          <w:tcPr>
            <w:tcW w:type="dxa" w:w="6912"/>
          </w:tcPr>
          <w:p>
            <w:r>
              <w:rPr>
                <w:sz w:val="20"/>
              </w:rPr>
              <w:t>User Interface</w:t>
            </w:r>
          </w:p>
        </w:tc>
      </w:tr>
    </w:tbl>
    <w:p/>
    <w:p>
      <w:r>
        <w:br w:type="page"/>
      </w:r>
    </w:p>
    <w:p>
      <w:pPr>
        <w:pStyle w:val="Heading1"/>
        <w:jc w:val="left"/>
      </w:pPr>
      <w:r>
        <w:t>List of Figures</w:t>
      </w:r>
    </w:p>
    <w:tbl>
      <w:tblPr>
        <w:tblStyle w:val="TableGrid"/>
        <w:tblW w:type="auto" w:w="0"/>
        <w:tblLook w:firstColumn="1" w:firstRow="1" w:lastColumn="0" w:lastRow="0" w:noHBand="0" w:noVBand="1" w:val="04A0"/>
      </w:tblPr>
      <w:tblGrid>
        <w:gridCol w:w="4320"/>
        <w:gridCol w:w="4320"/>
      </w:tblGrid>
      <w:tr>
        <w:tc>
          <w:tcPr>
            <w:tcW w:type="dxa" w:w="2160"/>
          </w:tcPr>
          <w:p>
            <w:r>
              <w:rPr>
                <w:b/>
                <w:sz w:val="22"/>
              </w:rPr>
              <w:t>Figure No.</w:t>
            </w:r>
          </w:p>
        </w:tc>
        <w:tc>
          <w:tcPr>
            <w:tcW w:type="dxa" w:w="6480"/>
          </w:tcPr>
          <w:p>
            <w:r>
              <w:rPr>
                <w:b/>
                <w:sz w:val="22"/>
              </w:rPr>
              <w:t>Title</w:t>
            </w:r>
          </w:p>
        </w:tc>
      </w:tr>
      <w:tr>
        <w:tc>
          <w:tcPr>
            <w:tcW w:type="dxa" w:w="2160"/>
          </w:tcPr>
          <w:p>
            <w:r>
              <w:rPr>
                <w:sz w:val="20"/>
              </w:rPr>
              <w:t>Figure 1.1</w:t>
            </w:r>
          </w:p>
        </w:tc>
        <w:tc>
          <w:tcPr>
            <w:tcW w:type="dxa" w:w="6480"/>
          </w:tcPr>
          <w:p>
            <w:r>
              <w:rPr>
                <w:sz w:val="20"/>
              </w:rPr>
              <w:t>High-level overview of the Indian Legal RAG Assistant system</w:t>
            </w:r>
          </w:p>
        </w:tc>
      </w:tr>
      <w:tr>
        <w:tc>
          <w:tcPr>
            <w:tcW w:type="dxa" w:w="2160"/>
          </w:tcPr>
          <w:p>
            <w:r>
              <w:rPr>
                <w:sz w:val="20"/>
              </w:rPr>
              <w:t>Figure 3.1</w:t>
            </w:r>
          </w:p>
        </w:tc>
        <w:tc>
          <w:tcPr>
            <w:tcW w:type="dxa" w:w="6480"/>
          </w:tcPr>
          <w:p>
            <w:r>
              <w:rPr>
                <w:sz w:val="20"/>
              </w:rPr>
              <w:t>End-to-end system architecture diagram</w:t>
            </w:r>
          </w:p>
        </w:tc>
      </w:tr>
      <w:tr>
        <w:tc>
          <w:tcPr>
            <w:tcW w:type="dxa" w:w="2160"/>
          </w:tcPr>
          <w:p>
            <w:r>
              <w:rPr>
                <w:sz w:val="20"/>
              </w:rPr>
              <w:t>Figure 3.2</w:t>
            </w:r>
          </w:p>
        </w:tc>
        <w:tc>
          <w:tcPr>
            <w:tcW w:type="dxa" w:w="6480"/>
          </w:tcPr>
          <w:p>
            <w:r>
              <w:rPr>
                <w:sz w:val="20"/>
              </w:rPr>
              <w:t>Document ingestion pipeline flowchart</w:t>
            </w:r>
          </w:p>
        </w:tc>
      </w:tr>
      <w:tr>
        <w:tc>
          <w:tcPr>
            <w:tcW w:type="dxa" w:w="2160"/>
          </w:tcPr>
          <w:p>
            <w:r>
              <w:rPr>
                <w:sz w:val="20"/>
              </w:rPr>
              <w:t>Figure 3.3</w:t>
            </w:r>
          </w:p>
        </w:tc>
        <w:tc>
          <w:tcPr>
            <w:tcW w:type="dxa" w:w="6480"/>
          </w:tcPr>
          <w:p>
            <w:r>
              <w:rPr>
                <w:sz w:val="20"/>
              </w:rPr>
              <w:t>Hybrid retrieval and reranking pipeline</w:t>
            </w:r>
          </w:p>
        </w:tc>
      </w:tr>
      <w:tr>
        <w:tc>
          <w:tcPr>
            <w:tcW w:type="dxa" w:w="2160"/>
          </w:tcPr>
          <w:p>
            <w:r>
              <w:rPr>
                <w:sz w:val="20"/>
              </w:rPr>
              <w:t>Figure 3.4</w:t>
            </w:r>
          </w:p>
        </w:tc>
        <w:tc>
          <w:tcPr>
            <w:tcW w:type="dxa" w:w="6480"/>
          </w:tcPr>
          <w:p>
            <w:r>
              <w:rPr>
                <w:sz w:val="20"/>
              </w:rPr>
              <w:t>Verification and confidence scoring flow</w:t>
            </w:r>
          </w:p>
        </w:tc>
      </w:tr>
      <w:tr>
        <w:tc>
          <w:tcPr>
            <w:tcW w:type="dxa" w:w="2160"/>
          </w:tcPr>
          <w:p>
            <w:r>
              <w:rPr>
                <w:sz w:val="20"/>
              </w:rPr>
              <w:t>Figure 4.1</w:t>
            </w:r>
          </w:p>
        </w:tc>
        <w:tc>
          <w:tcPr>
            <w:tcW w:type="dxa" w:w="6480"/>
          </w:tcPr>
          <w:p>
            <w:r>
              <w:rPr>
                <w:sz w:val="20"/>
              </w:rPr>
              <w:t>BM25 + Dense Vector hybrid retrieval with RRF fusion</w:t>
            </w:r>
          </w:p>
        </w:tc>
      </w:tr>
      <w:tr>
        <w:tc>
          <w:tcPr>
            <w:tcW w:type="dxa" w:w="2160"/>
          </w:tcPr>
          <w:p>
            <w:r>
              <w:rPr>
                <w:sz w:val="20"/>
              </w:rPr>
              <w:t>Figure 4.2</w:t>
            </w:r>
          </w:p>
        </w:tc>
        <w:tc>
          <w:tcPr>
            <w:tcW w:type="dxa" w:w="6480"/>
          </w:tcPr>
          <w:p>
            <w:r>
              <w:rPr>
                <w:sz w:val="20"/>
              </w:rPr>
              <w:t>Chain-of-Verification algorithm flow</w:t>
            </w:r>
          </w:p>
        </w:tc>
      </w:tr>
      <w:tr>
        <w:tc>
          <w:tcPr>
            <w:tcW w:type="dxa" w:w="2160"/>
          </w:tcPr>
          <w:p>
            <w:r>
              <w:rPr>
                <w:sz w:val="20"/>
              </w:rPr>
              <w:t>Figure 4.3</w:t>
            </w:r>
          </w:p>
        </w:tc>
        <w:tc>
          <w:tcPr>
            <w:tcW w:type="dxa" w:w="6480"/>
          </w:tcPr>
          <w:p>
            <w:r>
              <w:rPr>
                <w:sz w:val="20"/>
              </w:rPr>
              <w:t>Query expansion using few-shot prompted LLM</w:t>
            </w:r>
          </w:p>
        </w:tc>
      </w:tr>
    </w:tbl>
    <w:p/>
    <w:p>
      <w:pPr>
        <w:pStyle w:val="Heading1"/>
        <w:jc w:val="left"/>
      </w:pPr>
      <w:r>
        <w:t>List of Tables</w:t>
      </w:r>
    </w:p>
    <w:tbl>
      <w:tblPr>
        <w:tblStyle w:val="TableGrid"/>
        <w:tblW w:type="auto" w:w="0"/>
        <w:tblLook w:firstColumn="1" w:firstRow="1" w:lastColumn="0" w:lastRow="0" w:noHBand="0" w:noVBand="1" w:val="04A0"/>
      </w:tblPr>
      <w:tblGrid>
        <w:gridCol w:w="4320"/>
        <w:gridCol w:w="4320"/>
      </w:tblGrid>
      <w:tr>
        <w:tc>
          <w:tcPr>
            <w:tcW w:type="dxa" w:w="2160"/>
          </w:tcPr>
          <w:p>
            <w:r>
              <w:rPr>
                <w:b/>
                <w:sz w:val="22"/>
              </w:rPr>
              <w:t>Table No.</w:t>
            </w:r>
          </w:p>
        </w:tc>
        <w:tc>
          <w:tcPr>
            <w:tcW w:type="dxa" w:w="6480"/>
          </w:tcPr>
          <w:p>
            <w:r>
              <w:rPr>
                <w:b/>
                <w:sz w:val="22"/>
              </w:rPr>
              <w:t>Title</w:t>
            </w:r>
          </w:p>
        </w:tc>
      </w:tr>
      <w:tr>
        <w:tc>
          <w:tcPr>
            <w:tcW w:type="dxa" w:w="2160"/>
          </w:tcPr>
          <w:p>
            <w:r>
              <w:rPr>
                <w:sz w:val="20"/>
              </w:rPr>
              <w:t>Table 3.1</w:t>
            </w:r>
          </w:p>
        </w:tc>
        <w:tc>
          <w:tcPr>
            <w:tcW w:type="dxa" w:w="6480"/>
          </w:tcPr>
          <w:p>
            <w:r>
              <w:rPr>
                <w:sz w:val="20"/>
              </w:rPr>
              <w:t>Key system configuration parameters</w:t>
            </w:r>
          </w:p>
        </w:tc>
      </w:tr>
      <w:tr>
        <w:tc>
          <w:tcPr>
            <w:tcW w:type="dxa" w:w="2160"/>
          </w:tcPr>
          <w:p>
            <w:r>
              <w:rPr>
                <w:sz w:val="20"/>
              </w:rPr>
              <w:t>Table 3.2</w:t>
            </w:r>
          </w:p>
        </w:tc>
        <w:tc>
          <w:tcPr>
            <w:tcW w:type="dxa" w:w="6480"/>
          </w:tcPr>
          <w:p>
            <w:r>
              <w:rPr>
                <w:sz w:val="20"/>
              </w:rPr>
              <w:t>Supported Indian legal domains and statutes</w:t>
            </w:r>
          </w:p>
        </w:tc>
      </w:tr>
      <w:tr>
        <w:tc>
          <w:tcPr>
            <w:tcW w:type="dxa" w:w="2160"/>
          </w:tcPr>
          <w:p>
            <w:r>
              <w:rPr>
                <w:sz w:val="20"/>
              </w:rPr>
              <w:t>Table 4.1</w:t>
            </w:r>
          </w:p>
        </w:tc>
        <w:tc>
          <w:tcPr>
            <w:tcW w:type="dxa" w:w="6480"/>
          </w:tcPr>
          <w:p>
            <w:r>
              <w:rPr>
                <w:sz w:val="20"/>
              </w:rPr>
              <w:t>Confidence score tier thresholds</w:t>
            </w:r>
          </w:p>
        </w:tc>
      </w:tr>
      <w:tr>
        <w:tc>
          <w:tcPr>
            <w:tcW w:type="dxa" w:w="2160"/>
          </w:tcPr>
          <w:p>
            <w:r>
              <w:rPr>
                <w:sz w:val="20"/>
              </w:rPr>
              <w:t>Table 4.2</w:t>
            </w:r>
          </w:p>
        </w:tc>
        <w:tc>
          <w:tcPr>
            <w:tcW w:type="dxa" w:w="6480"/>
          </w:tcPr>
          <w:p>
            <w:r>
              <w:rPr>
                <w:sz w:val="20"/>
              </w:rPr>
              <w:t>Safety guardrail refusal conditions</w:t>
            </w:r>
          </w:p>
        </w:tc>
      </w:tr>
    </w:tbl>
    <w:p/>
    <w:p>
      <w:r>
        <w:br w:type="page"/>
      </w:r>
    </w:p>
    <w:p>
      <w:pPr>
        <w:pStyle w:val="Heading1"/>
        <w:jc w:val="left"/>
      </w:pPr>
      <w:r>
        <w:t>Chapter 1: Introduction</w:t>
      </w:r>
    </w:p>
    <w:p>
      <w:pPr>
        <w:pStyle w:val="Heading2"/>
        <w:jc w:val="left"/>
      </w:pPr>
      <w:r>
        <w:t>1.1 Background and Motivation</w:t>
      </w:r>
    </w:p>
    <w:p>
      <w:pPr>
        <w:spacing w:after="120"/>
      </w:pPr>
      <w:r>
        <w:rPr>
          <w:rFonts w:ascii="Times New Roman" w:hAnsi="Times New Roman"/>
          <w:b w:val="0"/>
          <w:i w:val="0"/>
          <w:sz w:val="24"/>
        </w:rPr>
        <w:t>India's legal framework is one of the most voluminous in the world. With upward of 1,500 Central Acts and an even larger body of State legislation — touching every dimension of life from criminal accountability to corporate governance, from family disputes to environmental protection — the practical task of finding the law that applies to one's situation has historically demanded either expensive professional consultation or years of legal training. For most ordinary Indians, this barrier is insurmountable. A person who has been cheated, harassed, or harmed often does not know which Act applies, which section is relevant, or even which authority to approach first. This is the access-to-justice problem that motivates this project: the gap between a citizen's legal rights on paper and their ability to understand and exercise those rights in practice.</w:t>
      </w:r>
    </w:p>
    <w:p>
      <w:pPr>
        <w:spacing w:after="120"/>
      </w:pPr>
      <w:r>
        <w:rPr>
          <w:rFonts w:ascii="Times New Roman" w:hAnsi="Times New Roman"/>
          <w:b w:val="0"/>
          <w:i w:val="0"/>
          <w:sz w:val="24"/>
        </w:rPr>
        <w:t>This challenge became substantially more acute in 2023 when the Indian Parliament enacted three major statutes that collectively replaced colonial-era criminal law: the Bharatiya Nyaya Sanhita (BNS) 2023 replaced the Indian Penal Code 1860; the Bharatiya Nagarik Suraksha Sanhita (BNSS) 2023 replaced the Code of Criminal Procedure 1973; and the Bharatiya Sakshya Adhiniyam (BSA) 2023 replaced the Indian Evidence Act 1872. These were not minor amendments — they represented a complete renumbering of sections, introduction of new categories of offences (including organised crime, terrorism, and cybercrimes), and revised procedural timelines. The practical consequence is that legal information previously memorised by practitioners, embedded in popular guides, or indexed by search engines is now potentially outdated or misattributed to wrong section numbers. A technology solution that works directly from the authoritative statute PDFs — rather than from potentially stale cached content — is therefore both timely and necessary.</w:t>
      </w:r>
    </w:p>
    <w:p>
      <w:pPr>
        <w:spacing w:after="120"/>
      </w:pPr>
      <w:r>
        <w:rPr>
          <w:rFonts w:ascii="Times New Roman" w:hAnsi="Times New Roman"/>
          <w:b w:val="0"/>
          <w:i w:val="0"/>
          <w:sz w:val="24"/>
        </w:rPr>
        <w:t>Recent advances in Large Language Models (LLMs) and Retrieval-Augmented Generation (RAG) create a genuine opportunity to address the access-to-justice problem at scale. The key insight behind RAG is that a language model does not need to memorise all legal knowledge; instead it can retrieve the relevant portions of a statute at query time and generate an answer grounded exclusively in that retrieved text. This distinction is not academic — a pure generative model trained on internet text may confidently produce a section number, penalty, or procedure that does not exist in Indian law, because it has interpolated from similar-sounding text in its training data. In the legal context, such a fabrication is not merely inaccurate; it could cause a user to miss a legal deadline, approach the wrong forum, or waive a right they actually have. The entire architectural philosophy of this project is therefore: retrieve first, verify before answering, and refuse rather than guess.</w:t>
      </w:r>
    </w:p>
    <w:p>
      <w:pPr>
        <w:spacing w:after="120"/>
      </w:pPr>
      <w:r>
        <w:rPr>
          <w:rFonts w:ascii="Times New Roman" w:hAnsi="Times New Roman"/>
          <w:b w:val="0"/>
          <w:i w:val="0"/>
          <w:sz w:val="24"/>
        </w:rPr>
        <w:t>Existing legal AI tools in the Indian context suffer from several limitations:</w:t>
      </w:r>
    </w:p>
    <w:p>
      <w:pPr>
        <w:pStyle w:val="ListBullet"/>
      </w:pPr>
      <w:r>
        <w:rPr>
          <w:rFonts w:ascii="Times New Roman" w:hAnsi="Times New Roman"/>
          <w:sz w:val="24"/>
        </w:rPr>
        <w:t>Narrow domain coverage — most tools focus exclusively on criminal law or a single statute.</w:t>
      </w:r>
    </w:p>
    <w:p>
      <w:pPr>
        <w:pStyle w:val="ListBullet"/>
      </w:pPr>
      <w:r>
        <w:rPr>
          <w:rFonts w:ascii="Times New Roman" w:hAnsi="Times New Roman"/>
          <w:sz w:val="24"/>
        </w:rPr>
        <w:t>No hallucination control — answers are generated without any post-generation verification.</w:t>
      </w:r>
    </w:p>
    <w:p>
      <w:pPr>
        <w:pStyle w:val="ListBullet"/>
      </w:pPr>
      <w:r>
        <w:rPr>
          <w:rFonts w:ascii="Times New Roman" w:hAnsi="Times New Roman"/>
          <w:sz w:val="24"/>
        </w:rPr>
        <w:t>No confidence transparency — users receive no indication of how reliable a given answer is.</w:t>
      </w:r>
    </w:p>
    <w:p>
      <w:pPr>
        <w:pStyle w:val="ListBullet"/>
      </w:pPr>
      <w:r>
        <w:rPr>
          <w:rFonts w:ascii="Times New Roman" w:hAnsi="Times New Roman"/>
          <w:sz w:val="24"/>
        </w:rPr>
        <w:t>Internet dependency — cloud-based tools raise privacy concerns and are inaccessible in low-bandwidth environments.</w:t>
      </w:r>
    </w:p>
    <w:p>
      <w:pPr>
        <w:pStyle w:val="ListBullet"/>
      </w:pPr>
      <w:r>
        <w:rPr>
          <w:rFonts w:ascii="Times New Roman" w:hAnsi="Times New Roman"/>
          <w:sz w:val="24"/>
        </w:rPr>
        <w:t>Poor query understanding — colloquial questions are not translated into formal statutory language before retrieval.</w:t>
      </w:r>
    </w:p>
    <w:p>
      <w:pPr>
        <w:spacing w:after="120"/>
      </w:pPr>
      <w:r>
        <w:rPr>
          <w:rFonts w:ascii="Times New Roman" w:hAnsi="Times New Roman"/>
          <w:b w:val="0"/>
          <w:i w:val="0"/>
          <w:sz w:val="24"/>
        </w:rPr>
        <w:t>This project directly addresses all five limitations through a novel, locally-hosted, domain-neutral RAG pipeline enriched with query expansion, hybrid retrieval, cross-encoder reranking, LLM-generated answers, chain-of-verification (CoVe), and a three-tier safety guardrail system.</w:t>
      </w:r>
    </w:p>
    <w:p>
      <w:pPr>
        <w:pStyle w:val="Heading2"/>
        <w:jc w:val="left"/>
      </w:pPr>
      <w:r>
        <w:t>1.2 Overview</w:t>
      </w:r>
    </w:p>
    <w:p>
      <w:pPr>
        <w:spacing w:after="120"/>
      </w:pPr>
      <w:r>
        <w:rPr>
          <w:rFonts w:ascii="Times New Roman" w:hAnsi="Times New Roman"/>
          <w:b w:val="0"/>
          <w:i w:val="0"/>
          <w:sz w:val="24"/>
        </w:rPr>
        <w:t>The Indian Legal RAG Assistant is a locally hosted, privacy-preserving question-answering system designed to provide evidenced, verified answers about Indian law to ordinary citizens, law students, and legal professionals. The system operates entirely on the user's own hardware — no data is transmitted to external servers — making it suitable for use across a wide variety of environments, including those with data-sensitivity requirements.</w:t>
      </w:r>
    </w:p>
    <w:p>
      <w:pPr>
        <w:spacing w:after="120"/>
      </w:pPr>
      <w:r>
        <w:rPr>
          <w:rFonts w:ascii="Times New Roman" w:hAnsi="Times New Roman"/>
          <w:b w:val="0"/>
          <w:i w:val="0"/>
          <w:sz w:val="24"/>
        </w:rPr>
        <w:t>At its core, the system implements a sophisticated RAG pipeline with the following end-to-end flow:</w:t>
      </w:r>
    </w:p>
    <w:p>
      <w:pPr>
        <w:spacing w:after="120"/>
      </w:pPr>
      <w:r>
        <w:rPr>
          <w:rFonts w:ascii="Times New Roman" w:hAnsi="Times New Roman"/>
          <w:b/>
          <w:i w:val="0"/>
          <w:sz w:val="24"/>
        </w:rPr>
        <w:t xml:space="preserve">1. </w:t>
      </w:r>
      <w:r>
        <w:rPr>
          <w:rFonts w:ascii="Times New Roman" w:hAnsi="Times New Roman"/>
          <w:b/>
          <w:i w:val="0"/>
          <w:sz w:val="24"/>
        </w:rPr>
        <w:t xml:space="preserve">Knowledge Base Construction: </w:t>
      </w:r>
      <w:r>
        <w:rPr>
          <w:rFonts w:ascii="Times New Roman" w:hAnsi="Times New Roman"/>
          <w:b w:val="0"/>
          <w:i w:val="0"/>
          <w:sz w:val="24"/>
        </w:rPr>
        <w:t>Legal statute PDFs covering more than 40 Indian Acts across 10+ legal domains are loaded, cleaned, chunked, embedded using a bi-encoder model, and stored in a persistent ChromaDB vector database.</w:t>
      </w:r>
    </w:p>
    <w:p>
      <w:pPr>
        <w:spacing w:after="120"/>
      </w:pPr>
      <w:r>
        <w:rPr>
          <w:rFonts w:ascii="Times New Roman" w:hAnsi="Times New Roman"/>
          <w:b/>
          <w:i w:val="0"/>
          <w:sz w:val="24"/>
        </w:rPr>
        <w:t xml:space="preserve">2. </w:t>
      </w:r>
      <w:r>
        <w:rPr>
          <w:rFonts w:ascii="Times New Roman" w:hAnsi="Times New Roman"/>
          <w:b/>
          <w:i w:val="0"/>
          <w:sz w:val="24"/>
        </w:rPr>
        <w:t xml:space="preserve">Query Reception and Expansion: </w:t>
      </w:r>
      <w:r>
        <w:rPr>
          <w:rFonts w:ascii="Times New Roman" w:hAnsi="Times New Roman"/>
          <w:b w:val="0"/>
          <w:i w:val="0"/>
          <w:sz w:val="24"/>
        </w:rPr>
        <w:t>When a user poses a query in natural or colloquial language, an LLM-powered Query Expander first translates the query into formal statutory language using few-shot prompting.</w:t>
      </w:r>
    </w:p>
    <w:p>
      <w:pPr>
        <w:spacing w:after="120"/>
      </w:pPr>
      <w:r>
        <w:rPr>
          <w:rFonts w:ascii="Times New Roman" w:hAnsi="Times New Roman"/>
          <w:b/>
          <w:i w:val="0"/>
          <w:sz w:val="24"/>
        </w:rPr>
        <w:t xml:space="preserve">3. </w:t>
      </w:r>
      <w:r>
        <w:rPr>
          <w:rFonts w:ascii="Times New Roman" w:hAnsi="Times New Roman"/>
          <w:b/>
          <w:i w:val="0"/>
          <w:sz w:val="24"/>
        </w:rPr>
        <w:t xml:space="preserve">Hybrid Retrieval: </w:t>
      </w:r>
      <w:r>
        <w:rPr>
          <w:rFonts w:ascii="Times New Roman" w:hAnsi="Times New Roman"/>
          <w:b w:val="0"/>
          <w:i w:val="0"/>
          <w:sz w:val="24"/>
        </w:rPr>
        <w:t>The system simultaneously performs dense semantic vector search and sparse BM25 keyword matching. Results are merged using Reciprocal Rank Fusion (RRF).</w:t>
      </w:r>
    </w:p>
    <w:p>
      <w:pPr>
        <w:spacing w:after="120"/>
      </w:pPr>
      <w:r>
        <w:rPr>
          <w:rFonts w:ascii="Times New Roman" w:hAnsi="Times New Roman"/>
          <w:b/>
          <w:i w:val="0"/>
          <w:sz w:val="24"/>
        </w:rPr>
        <w:t xml:space="preserve">4. </w:t>
      </w:r>
      <w:r>
        <w:rPr>
          <w:rFonts w:ascii="Times New Roman" w:hAnsi="Times New Roman"/>
          <w:b/>
          <w:i w:val="0"/>
          <w:sz w:val="24"/>
        </w:rPr>
        <w:t xml:space="preserve">Cross-Encoder Reranking: </w:t>
      </w:r>
      <w:r>
        <w:rPr>
          <w:rFonts w:ascii="Times New Roman" w:hAnsi="Times New Roman"/>
          <w:b w:val="0"/>
          <w:i w:val="0"/>
          <w:sz w:val="24"/>
        </w:rPr>
        <w:t>The top-K fused candidates are re-scored using a cross-encoder model. Candidates below a relevance threshold are filtered out.</w:t>
      </w:r>
    </w:p>
    <w:p>
      <w:pPr>
        <w:spacing w:after="120"/>
      </w:pPr>
      <w:r>
        <w:rPr>
          <w:rFonts w:ascii="Times New Roman" w:hAnsi="Times New Roman"/>
          <w:b/>
          <w:i w:val="0"/>
          <w:sz w:val="24"/>
        </w:rPr>
        <w:t xml:space="preserve">5. </w:t>
      </w:r>
      <w:r>
        <w:rPr>
          <w:rFonts w:ascii="Times New Roman" w:hAnsi="Times New Roman"/>
          <w:b/>
          <w:i w:val="0"/>
          <w:sz w:val="24"/>
        </w:rPr>
        <w:t xml:space="preserve">Answer Generation: </w:t>
      </w:r>
      <w:r>
        <w:rPr>
          <w:rFonts w:ascii="Times New Roman" w:hAnsi="Times New Roman"/>
          <w:b w:val="0"/>
          <w:i w:val="0"/>
          <w:sz w:val="24"/>
        </w:rPr>
        <w:t>The filtered evidence chunks are provided as grounded context to a locally running LLaMA 3.1 8B Instruct model (via Ollama).</w:t>
      </w:r>
    </w:p>
    <w:p>
      <w:pPr>
        <w:spacing w:after="120"/>
      </w:pPr>
      <w:r>
        <w:rPr>
          <w:rFonts w:ascii="Times New Roman" w:hAnsi="Times New Roman"/>
          <w:b/>
          <w:i w:val="0"/>
          <w:sz w:val="24"/>
        </w:rPr>
        <w:t xml:space="preserve">6. </w:t>
      </w:r>
      <w:r>
        <w:rPr>
          <w:rFonts w:ascii="Times New Roman" w:hAnsi="Times New Roman"/>
          <w:b/>
          <w:i w:val="0"/>
          <w:sz w:val="24"/>
        </w:rPr>
        <w:t xml:space="preserve">Chain-of-Verification: </w:t>
      </w:r>
      <w:r>
        <w:rPr>
          <w:rFonts w:ascii="Times New Roman" w:hAnsi="Times New Roman"/>
          <w:b w:val="0"/>
          <w:i w:val="0"/>
          <w:sz w:val="24"/>
        </w:rPr>
        <w:t>An independent LLM verification pass decomposes the generated answer into individual claims and checks each claim against the retrieved evidence.</w:t>
      </w:r>
    </w:p>
    <w:p>
      <w:pPr>
        <w:spacing w:after="120"/>
      </w:pPr>
      <w:r>
        <w:rPr>
          <w:rFonts w:ascii="Times New Roman" w:hAnsi="Times New Roman"/>
          <w:b/>
          <w:i w:val="0"/>
          <w:sz w:val="24"/>
        </w:rPr>
        <w:t xml:space="preserve">7. </w:t>
      </w:r>
      <w:r>
        <w:rPr>
          <w:rFonts w:ascii="Times New Roman" w:hAnsi="Times New Roman"/>
          <w:b/>
          <w:i w:val="0"/>
          <w:sz w:val="24"/>
        </w:rPr>
        <w:t xml:space="preserve">Confidence Scoring: </w:t>
      </w:r>
      <w:r>
        <w:rPr>
          <w:rFonts w:ascii="Times New Roman" w:hAnsi="Times New Roman"/>
          <w:b w:val="0"/>
          <w:i w:val="0"/>
          <w:sz w:val="24"/>
        </w:rPr>
        <w:t>A composite confidence score is computed as a weighted combination of verification ratio (60%) and normalised retrieval quality (40%).</w:t>
      </w:r>
    </w:p>
    <w:p>
      <w:pPr>
        <w:spacing w:after="120"/>
      </w:pPr>
      <w:r>
        <w:rPr>
          <w:rFonts w:ascii="Times New Roman" w:hAnsi="Times New Roman"/>
          <w:b/>
          <w:i w:val="0"/>
          <w:sz w:val="24"/>
        </w:rPr>
        <w:t xml:space="preserve">8. </w:t>
      </w:r>
      <w:r>
        <w:rPr>
          <w:rFonts w:ascii="Times New Roman" w:hAnsi="Times New Roman"/>
          <w:b/>
          <w:i w:val="0"/>
          <w:sz w:val="24"/>
        </w:rPr>
        <w:t xml:space="preserve">Streamlit Web Interface: </w:t>
      </w:r>
      <w:r>
        <w:rPr>
          <w:rFonts w:ascii="Times New Roman" w:hAnsi="Times New Roman"/>
          <w:b w:val="0"/>
          <w:i w:val="0"/>
          <w:sz w:val="24"/>
        </w:rPr>
        <w:t>The entire pipeline is accessible through an intuitive web-based UI with clickable citations, document upload, and a Personal Incident Support panel.</w:t>
      </w:r>
    </w:p>
    <w:p>
      <w:pPr>
        <w:spacing w:after="120"/>
      </w:pPr>
      <w:r>
        <w:rPr>
          <w:rFonts w:ascii="Times New Roman" w:hAnsi="Times New Roman"/>
          <w:b w:val="0"/>
          <w:i w:val="0"/>
          <w:sz w:val="24"/>
        </w:rPr>
        <w:t>The system covers Indian law across criminal (BNS, BNSS, BSA), civil (Indian Contract Act, Specific Relief Act, Arbitration Act), property, family, consumer, digital, labour, corporate, intellectual property, environmental, tax, and constitutional law.</w:t>
      </w:r>
    </w:p>
    <w:p>
      <w:pPr>
        <w:pStyle w:val="Heading2"/>
        <w:jc w:val="left"/>
      </w:pPr>
      <w:r>
        <w:t>1.3 Research Goals and Approach</w:t>
      </w:r>
    </w:p>
    <w:p>
      <w:pPr>
        <w:spacing w:after="120"/>
      </w:pPr>
      <w:r>
        <w:rPr>
          <w:rFonts w:ascii="Times New Roman" w:hAnsi="Times New Roman"/>
          <w:b/>
          <w:i w:val="0"/>
          <w:sz w:val="24"/>
        </w:rPr>
        <w:t xml:space="preserve">Goal 1 — Hallucination-Free Legal QA: </w:t>
      </w:r>
      <w:r>
        <w:rPr>
          <w:rFonts w:ascii="Times New Roman" w:hAnsi="Times New Roman"/>
          <w:b w:val="0"/>
          <w:i w:val="0"/>
          <w:sz w:val="24"/>
        </w:rPr>
        <w:t>Design a pipeline that structurally prevents the LLM from generating answers not grounded in retrieved statutory text, using Chain-of-Verification.</w:t>
      </w:r>
    </w:p>
    <w:p>
      <w:pPr>
        <w:spacing w:after="120"/>
      </w:pPr>
      <w:r>
        <w:rPr>
          <w:rFonts w:ascii="Times New Roman" w:hAnsi="Times New Roman"/>
          <w:b/>
          <w:i w:val="0"/>
          <w:sz w:val="24"/>
        </w:rPr>
        <w:t xml:space="preserve">Goal 2 — Domain-Neutral Coverage: </w:t>
      </w:r>
      <w:r>
        <w:rPr>
          <w:rFonts w:ascii="Times New Roman" w:hAnsi="Times New Roman"/>
          <w:b w:val="0"/>
          <w:i w:val="0"/>
          <w:sz w:val="24"/>
        </w:rPr>
        <w:t>Build a system that supports any Indian legal Act whose PDF can be ingested, covering 40+ Acts across all major domains.</w:t>
      </w:r>
    </w:p>
    <w:p>
      <w:pPr>
        <w:spacing w:after="120"/>
      </w:pPr>
      <w:r>
        <w:rPr>
          <w:rFonts w:ascii="Times New Roman" w:hAnsi="Times New Roman"/>
          <w:b/>
          <w:i w:val="0"/>
          <w:sz w:val="24"/>
        </w:rPr>
        <w:t xml:space="preserve">Goal 3 — Hybrid Retrieval Superiority: </w:t>
      </w:r>
      <w:r>
        <w:rPr>
          <w:rFonts w:ascii="Times New Roman" w:hAnsi="Times New Roman"/>
          <w:b w:val="0"/>
          <w:i w:val="0"/>
          <w:sz w:val="24"/>
        </w:rPr>
        <w:t>Demonstrate that combining dense vector retrieval with sparse BM25 through Reciprocal Rank Fusion outperforms either method alone.</w:t>
      </w:r>
    </w:p>
    <w:p>
      <w:pPr>
        <w:spacing w:after="120"/>
      </w:pPr>
      <w:r>
        <w:rPr>
          <w:rFonts w:ascii="Times New Roman" w:hAnsi="Times New Roman"/>
          <w:b/>
          <w:i w:val="0"/>
          <w:sz w:val="24"/>
        </w:rPr>
        <w:t xml:space="preserve">Goal 4 — Transparent Confidence: </w:t>
      </w:r>
      <w:r>
        <w:rPr>
          <w:rFonts w:ascii="Times New Roman" w:hAnsi="Times New Roman"/>
          <w:b w:val="0"/>
          <w:i w:val="0"/>
          <w:sz w:val="24"/>
        </w:rPr>
        <w:t>Provide interpretable, calibrated confidence signals (High / Moderate / Refused) so users can gauge reliability.</w:t>
      </w:r>
    </w:p>
    <w:p>
      <w:pPr>
        <w:spacing w:after="120"/>
      </w:pPr>
      <w:r>
        <w:rPr>
          <w:rFonts w:ascii="Times New Roman" w:hAnsi="Times New Roman"/>
          <w:b/>
          <w:i w:val="0"/>
          <w:sz w:val="24"/>
        </w:rPr>
        <w:t xml:space="preserve">Goal 5 — Complete Local Operation: </w:t>
      </w:r>
      <w:r>
        <w:rPr>
          <w:rFonts w:ascii="Times New Roman" w:hAnsi="Times New Roman"/>
          <w:b w:val="0"/>
          <w:i w:val="0"/>
          <w:sz w:val="24"/>
        </w:rPr>
        <w:t>Ensure the entire pipeline runs on the user's own machine without any external API dependency, protecting privacy.</w:t>
      </w:r>
    </w:p>
    <w:p>
      <w:pPr>
        <w:spacing w:after="120"/>
      </w:pPr>
      <w:r>
        <w:rPr>
          <w:rFonts w:ascii="Times New Roman" w:hAnsi="Times New Roman"/>
          <w:b w:val="0"/>
          <w:i w:val="0"/>
          <w:sz w:val="24"/>
        </w:rPr>
        <w:t>The research approach combines information retrieval (BM25, dense vector search, RRF, cross-encoder reranking), NLP (bi-encoder embeddings, LLM query expansion), generative AI (instruction-tuned LLM for answer generation), and AI safety (Chain-of-Verification, confidence scoring, multi-layer refusal guards). The system is evaluated against a curated test set measuring safety guardrail accuracy, confidence score distributions, and inference latency.</w:t>
      </w:r>
    </w:p>
    <w:p>
      <w:r>
        <w:br w:type="page"/>
      </w:r>
    </w:p>
    <w:p>
      <w:pPr>
        <w:pStyle w:val="Heading1"/>
        <w:jc w:val="left"/>
      </w:pPr>
      <w:r>
        <w:t>Chapter 2: Literature Review</w:t>
      </w:r>
    </w:p>
    <w:p>
      <w:pPr>
        <w:spacing w:after="120"/>
      </w:pPr>
      <w:r>
        <w:rPr>
          <w:rFonts w:ascii="Times New Roman" w:hAnsi="Times New Roman"/>
          <w:b w:val="0"/>
          <w:i w:val="0"/>
          <w:sz w:val="24"/>
        </w:rPr>
        <w:t>Building a reliable legal question-answering system requires drawing from multiple research threads simultaneously: how to retrieve relevant text efficiently, how to rank that text by genuine relevance, how to generate answers grounded strictly in retrieved evidence, and how to detect and prevent hallucinated claims. The sections below review the key prior work in each of these areas and explain how that work informed specific design decisions in this project.</w:t>
      </w:r>
    </w:p>
    <w:p>
      <w:pPr>
        <w:spacing w:after="120"/>
      </w:pPr>
      <w:r>
        <w:rPr>
          <w:rFonts w:ascii="Times New Roman" w:hAnsi="Times New Roman"/>
          <w:b/>
          <w:i w:val="0"/>
          <w:sz w:val="24"/>
        </w:rPr>
        <w:t>Retrieval-Augmented Generation (RAG):</w:t>
      </w:r>
      <w:r>
        <w:rPr>
          <w:rFonts w:ascii="Times New Roman" w:hAnsi="Times New Roman"/>
          <w:b w:val="0"/>
          <w:i w:val="0"/>
          <w:sz w:val="24"/>
        </w:rPr>
        <w:t xml:space="preserve"> The RAG paradigm was formalised by Lewis et al. (2020), who showed that a retrieval component backed by a non-parametric document index could supply a generation model with factual grounding that its parameters alone could not reliably provide. This was a significant shift from the 'memorise everything' approach of early language models. Izacard &amp; Grave (2021) extended this by showing that attending over multiple retrieved passages simultaneously — their Fusion-in-Decoder architecture — produced measurably better answers than attending over a single retrieved chunk. Both observations shaped our design: we retrieve, rerank, and pass the top four highest-quality chunks together to the generation model.</w:t>
      </w:r>
    </w:p>
    <w:p>
      <w:pPr>
        <w:spacing w:after="120"/>
      </w:pPr>
      <w:r>
        <w:rPr>
          <w:rFonts w:ascii="Times New Roman" w:hAnsi="Times New Roman"/>
          <w:b/>
          <w:i w:val="0"/>
          <w:sz w:val="24"/>
        </w:rPr>
        <w:t>Bi-Encoder and Cross-Encoder Models:</w:t>
      </w:r>
      <w:r>
        <w:rPr>
          <w:rFonts w:ascii="Times New Roman" w:hAnsi="Times New Roman"/>
          <w:b w:val="0"/>
          <w:i w:val="0"/>
          <w:sz w:val="24"/>
        </w:rPr>
        <w:t xml:space="preserve"> Sentence-BERT (Reimers &amp; Gurevych, 2019) demonstrated that Siamese bi-encoder architectures — where query and document are embedded independently and compared via vector distance — can produce high-quality semantic similarity scores at retrieval speed. BAAI's bge series, which we adopt, builds on this with contrastive training on retrieval-specific tasks. Nogueira &amp; Cho (2019) showed that cross-encoder models — where query and document are concatenated and jointly encoded — achieve dramatically higher ranking precision. This is precisely the two-stage architecture we employ: fast bi-encoder for the initial 25-candidate shortlist, precise cross-encoder for the final reranking to 4 candidates.</w:t>
      </w:r>
    </w:p>
    <w:p>
      <w:pPr>
        <w:spacing w:after="120"/>
      </w:pPr>
      <w:r>
        <w:rPr>
          <w:rFonts w:ascii="Times New Roman" w:hAnsi="Times New Roman"/>
          <w:b/>
          <w:i w:val="0"/>
          <w:sz w:val="24"/>
        </w:rPr>
        <w:t>Hybrid Retrieval and Reciprocal Rank Fusion:</w:t>
      </w:r>
      <w:r>
        <w:rPr>
          <w:rFonts w:ascii="Times New Roman" w:hAnsi="Times New Roman"/>
          <w:b w:val="0"/>
          <w:i w:val="0"/>
          <w:sz w:val="24"/>
        </w:rPr>
        <w:t xml:space="preserve"> Neither dense vector search nor sparse keyword search is universally superior — they are complementary. Dense models excel at semantic matching but may miss passages containing exact statutory citations such as 'Section 173 BNSS.' BM25 (Robertson et al., 1994) handles exact keyword matching robustly but struggles with semantic variation. Multiple IR studies confirm that combining the two consistently beats either alone. We adopt Reciprocal Rank Fusion (Cormack et al., 2009), which assigns each document a score based on rank position rather than raw score — making fusion robust to scale differences between cosine similarity scores and BM25 scores.</w:t>
      </w:r>
    </w:p>
    <w:p>
      <w:pPr>
        <w:spacing w:after="120"/>
      </w:pPr>
      <w:r>
        <w:rPr>
          <w:rFonts w:ascii="Times New Roman" w:hAnsi="Times New Roman"/>
          <w:b/>
          <w:i w:val="0"/>
          <w:sz w:val="24"/>
        </w:rPr>
        <w:t>Large Language Models for Question Answering:</w:t>
      </w:r>
      <w:r>
        <w:rPr>
          <w:rFonts w:ascii="Times New Roman" w:hAnsi="Times New Roman"/>
          <w:b w:val="0"/>
          <w:i w:val="0"/>
          <w:sz w:val="24"/>
        </w:rPr>
        <w:t xml:space="preserve"> Meta's LLaMA 3.1 8B Instruct (2024) is a publicly available instruction-tuned model that demonstrates strong capability at following complex system prompts — a critical requirement for our use case where we need the model to generate answers strictly from a provided evidence block. Ollama provides a local inference server with an OpenAI-compatible API, allowing us to switch underlying models without modifying application code. Choosing a locally served model eliminates per-query costs, avoids transmission of sensitive legal queries to third-party servers, and allows operation in offline environments.</w:t>
      </w:r>
    </w:p>
    <w:p>
      <w:pPr>
        <w:spacing w:after="120"/>
      </w:pPr>
      <w:r>
        <w:rPr>
          <w:rFonts w:ascii="Times New Roman" w:hAnsi="Times New Roman"/>
          <w:b/>
          <w:i w:val="0"/>
          <w:sz w:val="24"/>
        </w:rPr>
        <w:t>Chain-of-Verification:</w:t>
      </w:r>
      <w:r>
        <w:rPr>
          <w:rFonts w:ascii="Times New Roman" w:hAnsi="Times New Roman"/>
          <w:b w:val="0"/>
          <w:i w:val="0"/>
          <w:sz w:val="24"/>
        </w:rPr>
        <w:t xml:space="preserve"> Hallucination — where a language model produces confident-sounding but factually incorrect statements — is well-documented and remains an unsolved problem. In law, it is a safety hazard. Dhuliawala et al. (2023) proposed Chain-of-Verification (CoVe): explicitly breaking the answer into individual verifiable claims, then checking each claim against an authoritative source. We found this approach particularly suited to legal answers, which naturally decompose into discrete propositions ('the offence is cognisable', 'the punishment is imprisonment up to seven years', 'bail is discretionary') — each of which can be cross-referenced against the retrieved section text. Our AnswerVerifier class operationalises this via a second, independent LLM call.</w:t>
      </w:r>
    </w:p>
    <w:p>
      <w:pPr>
        <w:spacing w:after="120"/>
      </w:pPr>
      <w:r>
        <w:rPr>
          <w:rFonts w:ascii="Times New Roman" w:hAnsi="Times New Roman"/>
          <w:b/>
          <w:i w:val="0"/>
          <w:sz w:val="24"/>
        </w:rPr>
        <w:t>Legal NLP and Indian Law:</w:t>
      </w:r>
      <w:r>
        <w:rPr>
          <w:rFonts w:ascii="Times New Roman" w:hAnsi="Times New Roman"/>
          <w:b w:val="0"/>
          <w:i w:val="0"/>
          <w:sz w:val="24"/>
        </w:rPr>
        <w:t xml:space="preserve"> Legal NLP is heavily skewed toward Western legal systems (EUR-Lex, ECHR, US federal courts). Indian legal NLP has received comparatively little research attention. The ILDC corpus (Kalamkar et al., 2022) and the FIRE legal track (Malik et al., 2021) represent steps forward in NER and judgment prediction, but both focus on court decisions rather than statute text, and neither provides a generative QA interface. Commercial platforms (SCC Online, Manupatra) offer keyword search but do not synthesise an answer. The gap this project occupies is: automated, cited, verified, plain-language answers to statute-level legal questions, produced on-device.</w:t>
      </w:r>
    </w:p>
    <w:p>
      <w:pPr>
        <w:spacing w:after="120"/>
      </w:pPr>
      <w:r>
        <w:rPr>
          <w:rFonts w:ascii="Times New Roman" w:hAnsi="Times New Roman"/>
          <w:b/>
          <w:i w:val="0"/>
          <w:sz w:val="24"/>
        </w:rPr>
        <w:t>Query Expansion for Legal Retrieval:</w:t>
      </w:r>
      <w:r>
        <w:rPr>
          <w:rFonts w:ascii="Times New Roman" w:hAnsi="Times New Roman"/>
          <w:b w:val="0"/>
          <w:i w:val="0"/>
          <w:sz w:val="24"/>
        </w:rPr>
        <w:t xml:space="preserve"> A fundamental problem in legal IR is vocabulary mismatch: a user asking 'what happens if I don't get paid my salary' uses entirely different words from Section 2 of the Payment of Wages Act. Traditional pseudo-relevance feedback (PRF) is poorly suited here because if initial retrieval is wrong due to vocabulary mismatch, PRF iterates on bad evidence. Gao et al. (2022) proposed HyDE (Hypothetical Document Embeddings), where the LLM generates a hypothetical relevant document for retrieval. We adapt a related idea: using a few-shot prompted LLM to rewrite the informal query into formal statutory terminology — producing a rewritten query far more likely to match statutory text in the vector space.</w:t>
      </w:r>
    </w:p>
    <w:p>
      <w:pPr>
        <w:pStyle w:val="Heading2"/>
        <w:jc w:val="left"/>
      </w:pPr>
      <w:r>
        <w:t>2.1 Research Statement (Summary of Literature Review)</w:t>
      </w:r>
    </w:p>
    <w:p>
      <w:pPr>
        <w:spacing w:after="120"/>
      </w:pPr>
      <w:r>
        <w:rPr>
          <w:rFonts w:ascii="Times New Roman" w:hAnsi="Times New Roman"/>
          <w:b w:val="0"/>
          <w:i w:val="0"/>
          <w:sz w:val="24"/>
        </w:rPr>
        <w:t>Taken together, the surveyed literature points to the following concrete design conclusions:</w:t>
      </w:r>
    </w:p>
    <w:p>
      <w:pPr>
        <w:pStyle w:val="ListBullet"/>
      </w:pPr>
      <w:r>
        <w:rPr>
          <w:rFonts w:ascii="Times New Roman" w:hAnsi="Times New Roman"/>
          <w:sz w:val="24"/>
        </w:rPr>
        <w:t>1. A retrieval-augmented architecture is non-negotiable for a legal assistant — pure generative approaches carry unacceptable hallucination risk.</w:t>
      </w:r>
    </w:p>
    <w:p>
      <w:pPr>
        <w:pStyle w:val="ListBullet"/>
      </w:pPr>
      <w:r>
        <w:rPr>
          <w:rFonts w:ascii="Times New Roman" w:hAnsi="Times New Roman"/>
          <w:sz w:val="24"/>
        </w:rPr>
        <w:t>2. Bi-encoder retrieval followed by cross-encoder reranking (retrieve-then-rerank) is the established best practice for retrieval precision.</w:t>
      </w:r>
    </w:p>
    <w:p>
      <w:pPr>
        <w:pStyle w:val="ListBullet"/>
      </w:pPr>
      <w:r>
        <w:rPr>
          <w:rFonts w:ascii="Times New Roman" w:hAnsi="Times New Roman"/>
          <w:sz w:val="24"/>
        </w:rPr>
        <w:t>3. Combining sparse BM25 with dense vector search and fusing results using RRF yields better coverage than either method in isolation.</w:t>
      </w:r>
    </w:p>
    <w:p>
      <w:pPr>
        <w:pStyle w:val="ListBullet"/>
      </w:pPr>
      <w:r>
        <w:rPr>
          <w:rFonts w:ascii="Times New Roman" w:hAnsi="Times New Roman"/>
          <w:sz w:val="24"/>
        </w:rPr>
        <w:t>4. Chain-of-Verification applied post-generation is a structurally sound method for catching hallucinated claims before they reach the user.</w:t>
      </w:r>
    </w:p>
    <w:p>
      <w:pPr>
        <w:pStyle w:val="ListBullet"/>
      </w:pPr>
      <w:r>
        <w:rPr>
          <w:rFonts w:ascii="Times New Roman" w:hAnsi="Times New Roman"/>
          <w:sz w:val="24"/>
        </w:rPr>
        <w:t>5. Indian statute-level QA is an open problem — no publicly documented open-source system provides generative, evidence-verified answers over Indian statute text.</w:t>
      </w:r>
    </w:p>
    <w:p>
      <w:pPr>
        <w:pStyle w:val="ListBullet"/>
      </w:pPr>
      <w:r>
        <w:rPr>
          <w:rFonts w:ascii="Times New Roman" w:hAnsi="Times New Roman"/>
          <w:sz w:val="24"/>
        </w:rPr>
        <w:t>6. LLM-based query expansion using few-shot examples is more reliable for legal retrieval than traditional feedback methods.</w:t>
      </w:r>
    </w:p>
    <w:p>
      <w:pPr>
        <w:spacing w:after="120"/>
      </w:pPr>
      <w:r>
        <w:rPr>
          <w:rFonts w:ascii="Times New Roman" w:hAnsi="Times New Roman"/>
          <w:b w:val="0"/>
          <w:i w:val="0"/>
          <w:sz w:val="24"/>
        </w:rPr>
        <w:t>The research gap this project targets is well-defined: no existing publicly available system combines privacy-preserving local inference, multi-domain Indian statute coverage, hybrid retrieval with RRF, cross-encoder reranking, Chain-of-Verification, and a confidence-tiered refusal mechanism in a single deployable application. Each component has prior art in the literature; their integration in the context of Indian law constitutes the original contribution of this project.</w:t>
      </w:r>
    </w:p>
    <w:p>
      <w:r>
        <w:br w:type="page"/>
      </w:r>
    </w:p>
    <w:p>
      <w:pPr>
        <w:pStyle w:val="Heading1"/>
        <w:jc w:val="left"/>
      </w:pPr>
      <w:r>
        <w:t>Chapter 3: Architecture and Design</w:t>
      </w:r>
    </w:p>
    <w:p>
      <w:pPr>
        <w:pStyle w:val="Heading2"/>
        <w:jc w:val="left"/>
      </w:pPr>
      <w:r>
        <w:t>3.1 Design Strategy</w:t>
      </w:r>
    </w:p>
    <w:p>
      <w:pPr>
        <w:spacing w:after="120"/>
      </w:pPr>
      <w:r>
        <w:rPr>
          <w:rFonts w:ascii="Times New Roman" w:hAnsi="Times New Roman"/>
          <w:b w:val="0"/>
          <w:i w:val="0"/>
          <w:sz w:val="24"/>
        </w:rPr>
        <w:t>Five explicit design principles governed every architectural decision in this project. These principles emerged from reflecting on the failure modes of existing legal AI tools and from the research goals stated in Section 1.3:</w:t>
      </w:r>
    </w:p>
    <w:p>
      <w:pPr>
        <w:spacing w:after="120"/>
      </w:pPr>
      <w:r>
        <w:rPr>
          <w:rFonts w:ascii="Times New Roman" w:hAnsi="Times New Roman"/>
          <w:b/>
          <w:i w:val="0"/>
          <w:sz w:val="24"/>
        </w:rPr>
        <w:t xml:space="preserve">Principle 1 — Modular Pipeline Architecture: </w:t>
      </w:r>
      <w:r>
        <w:rPr>
          <w:rFonts w:ascii="Times New Roman" w:hAnsi="Times New Roman"/>
          <w:b w:val="0"/>
          <w:i w:val="0"/>
          <w:sz w:val="24"/>
        </w:rPr>
        <w:t>The system is composed of six independent, swappable Python classes: Embedder, VectorSearcher, QueryExpander, the reranker, the generator, and AnswerVerifier. Each class communicates through well-defined input/output contracts, so that replacing, say, the embedding model requires changing only one class and one configuration line.</w:t>
      </w:r>
    </w:p>
    <w:p>
      <w:pPr>
        <w:spacing w:after="120"/>
      </w:pPr>
      <w:r>
        <w:rPr>
          <w:rFonts w:ascii="Times New Roman" w:hAnsi="Times New Roman"/>
          <w:b/>
          <w:i w:val="0"/>
          <w:sz w:val="24"/>
        </w:rPr>
        <w:t xml:space="preserve">Principle 2 — Verification Before Presentation: </w:t>
      </w:r>
      <w:r>
        <w:rPr>
          <w:rFonts w:ascii="Times New Roman" w:hAnsi="Times New Roman"/>
          <w:b w:val="0"/>
          <w:i w:val="0"/>
          <w:sz w:val="24"/>
        </w:rPr>
        <w:t>An answer is not delivered to the user unless it has survived the full pipeline: retrieval, reranking, generation, and independent claim-level verification. In the legal domain, a hedged-but-wrong answer is more dangerous than a frank refusal.</w:t>
      </w:r>
    </w:p>
    <w:p>
      <w:pPr>
        <w:spacing w:after="120"/>
      </w:pPr>
      <w:r>
        <w:rPr>
          <w:rFonts w:ascii="Times New Roman" w:hAnsi="Times New Roman"/>
          <w:b/>
          <w:i w:val="0"/>
          <w:sz w:val="24"/>
        </w:rPr>
        <w:t xml:space="preserve">Principle 3 — Fully Local Operation: </w:t>
      </w:r>
      <w:r>
        <w:rPr>
          <w:rFonts w:ascii="Times New Roman" w:hAnsi="Times New Roman"/>
          <w:b w:val="0"/>
          <w:i w:val="0"/>
          <w:sz w:val="24"/>
        </w:rPr>
        <w:t>Every computation — embedding, BM25 scoring, reranking, LLM inference, and vector search — runs on the user's local hardware. This was motivated by cost (no per-query API charges), privacy (legal queries can be sensitive), and resilience (works offline).</w:t>
      </w:r>
    </w:p>
    <w:p>
      <w:pPr>
        <w:spacing w:after="120"/>
      </w:pPr>
      <w:r>
        <w:rPr>
          <w:rFonts w:ascii="Times New Roman" w:hAnsi="Times New Roman"/>
          <w:b/>
          <w:i w:val="0"/>
          <w:sz w:val="24"/>
        </w:rPr>
        <w:t xml:space="preserve">Principle 4 — Statute-File-Driven Domain Coverage: </w:t>
      </w:r>
      <w:r>
        <w:rPr>
          <w:rFonts w:ascii="Times New Roman" w:hAnsi="Times New Roman"/>
          <w:b w:val="0"/>
          <w:i w:val="0"/>
          <w:sz w:val="24"/>
        </w:rPr>
        <w:t>The knowledge base is not statically coded to any particular Acts. Any Indian statute whose PDF is placed in the data/raw/ directory or uploaded via the web interface is automatically indexed and labelled. Adding a new legal domain requires no code changes.</w:t>
      </w:r>
    </w:p>
    <w:p>
      <w:pPr>
        <w:spacing w:after="120"/>
      </w:pPr>
      <w:r>
        <w:rPr>
          <w:rFonts w:ascii="Times New Roman" w:hAnsi="Times New Roman"/>
          <w:b/>
          <w:i w:val="0"/>
          <w:sz w:val="24"/>
        </w:rPr>
        <w:t xml:space="preserve">Principle 5 — Actionable Confidence Communication: </w:t>
      </w:r>
      <w:r>
        <w:rPr>
          <w:rFonts w:ascii="Times New Roman" w:hAnsi="Times New Roman"/>
          <w:b w:val="0"/>
          <w:i w:val="0"/>
          <w:sz w:val="24"/>
        </w:rPr>
        <w:t>Rather than presenting answers as uniformly authoritative, the system explicitly reports a confidence score, a confidence tier (High / Moderate), and a per-claim audit trail, supporting informed decision-making rather than over-reliance.</w:t>
      </w:r>
    </w:p>
    <w:p>
      <w:pPr>
        <w:pStyle w:val="Heading2"/>
        <w:jc w:val="left"/>
      </w:pPr>
      <w:r>
        <w:t>System Architecture Diagram</w:t>
      </w:r>
    </w:p>
    <w:p>
      <w:pPr>
        <w:spacing w:after="120"/>
        <w:ind w:left="576"/>
      </w:pPr>
      <w:r>
        <w:rPr>
          <w:rFonts w:ascii="Courier New" w:hAnsi="Courier New"/>
          <w:sz w:val="18"/>
        </w:rPr>
        <w:t>┌───────────────────────────────────────────────────┐</w:t>
        <w:br/>
        <w:t>│           USER INTERFACE (Streamlit)               │</w:t>
        <w:br/>
        <w:t>│  [Query Input] [Document Upload] [Citation Viewer] │</w:t>
        <w:br/>
        <w:t>│  [Confidence Indicator] [Incident Support Panel]   │</w:t>
        <w:br/>
        <w:t>└──────────────────────┬────────────────────────────┘</w:t>
        <w:br/>
        <w:t xml:space="preserve">                       ▼</w:t>
        <w:br/>
        <w:t>┌───────────────────────────────────────────────────┐</w:t>
        <w:br/>
        <w:t>│          QUERY PROCESSING LAYER                   │</w:t>
        <w:br/>
        <w:t>│  QueryExpander (LLaMA 3.1 → legal terminology)   │</w:t>
        <w:br/>
        <w:t>└──────────────────────┬────────────────────────────┘</w:t>
        <w:br/>
        <w:t xml:space="preserve">                       ▼</w:t>
        <w:br/>
        <w:t>┌───────────────────────────────────────────────────┐</w:t>
        <w:br/>
        <w:t>│          HYBRID RETRIEVAL LAYER                   │</w:t>
        <w:br/>
        <w:t>│  Dense Vector Search  +  Sparse BM25 Search       │</w:t>
        <w:br/>
        <w:t>│              ↘            ↙                       │</w:t>
        <w:br/>
        <w:t>│              RRF Fusion                           │</w:t>
        <w:br/>
        <w:t>└──────────────────────┬────────────────────────────┘</w:t>
        <w:br/>
        <w:t xml:space="preserve">                       ▼</w:t>
        <w:br/>
        <w:t>┌───────────────────────────────────────────────────┐</w:t>
        <w:br/>
        <w:t>│          RERANKING LAYER                          │</w:t>
        <w:br/>
        <w:t>│  Cross-Encoder (MS MARCO MiniLM-L-6-v2)          │</w:t>
        <w:br/>
        <w:t>│  Relevance Threshold Filter (θ = -3.0)           │</w:t>
        <w:br/>
        <w:t>└──────────────────────┬────────────────────────────┘</w:t>
        <w:br/>
        <w:t xml:space="preserve">                       ▼</w:t>
        <w:br/>
        <w:t>┌───────────────────────────────────────────────────┐</w:t>
        <w:br/>
        <w:t>│          GENERATION LAYER                         │</w:t>
        <w:br/>
        <w:t>│  LLaMA 3.1 8B Instruct (via Ollama local server) │</w:t>
        <w:br/>
        <w:t>└──────────────────────┬────────────────────────────┘</w:t>
        <w:br/>
        <w:t xml:space="preserve">                       ▼</w:t>
        <w:br/>
        <w:t>┌───────────────────────────────────────────────────┐</w:t>
        <w:br/>
        <w:t>│          VERIFICATION LAYER                       │</w:t>
        <w:br/>
        <w:t>│  AnswerVerifier — Chain-of-Verification           │</w:t>
        <w:br/>
        <w:t>│  Composite Confidence Score                       │</w:t>
        <w:br/>
        <w:t>│  Three-tier Safety Guardrail                      │</w:t>
        <w:br/>
        <w:t>└──────────────────────┬────────────────────────────┘</w:t>
        <w:br/>
        <w:t xml:space="preserve">                       ▼</w:t>
        <w:br/>
        <w:t xml:space="preserve">         [Verified Answer + Confidence + Citations]</w:t>
      </w:r>
    </w:p>
    <w:p>
      <w:pPr>
        <w:pStyle w:val="Heading2"/>
        <w:jc w:val="left"/>
      </w:pPr>
      <w:r>
        <w:t>3.2 Parametric Analysis</w:t>
      </w:r>
    </w:p>
    <w:p>
      <w:pPr>
        <w:spacing w:after="120"/>
      </w:pPr>
      <w:r>
        <w:rPr>
          <w:rFonts w:ascii="Times New Roman" w:hAnsi="Times New Roman"/>
          <w:b w:val="0"/>
          <w:i w:val="0"/>
          <w:sz w:val="24"/>
        </w:rPr>
        <w:t>The system exposes several tunable parameters centralised in config/settings.py: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Parameter</w:t>
            </w:r>
          </w:p>
        </w:tc>
        <w:tc>
          <w:tcPr>
            <w:tcW w:type="dxa" w:w="2160"/>
          </w:tcPr>
          <w:p>
            <w:r>
              <w:rPr>
                <w:b/>
                <w:sz w:val="22"/>
              </w:rPr>
              <w:t>Value</w:t>
            </w:r>
          </w:p>
        </w:tc>
        <w:tc>
          <w:tcPr>
            <w:tcW w:type="dxa" w:w="3600"/>
          </w:tcPr>
          <w:p>
            <w:r>
              <w:rPr>
                <w:b/>
                <w:sz w:val="22"/>
              </w:rPr>
              <w:t>Role</w:t>
            </w:r>
          </w:p>
        </w:tc>
      </w:tr>
      <w:tr>
        <w:tc>
          <w:tcPr>
            <w:tcW w:type="dxa" w:w="2880"/>
          </w:tcPr>
          <w:p>
            <w:r>
              <w:rPr>
                <w:sz w:val="20"/>
              </w:rPr>
              <w:t>CHUNK_SIZE</w:t>
            </w:r>
          </w:p>
        </w:tc>
        <w:tc>
          <w:tcPr>
            <w:tcW w:type="dxa" w:w="2160"/>
          </w:tcPr>
          <w:p>
            <w:r>
              <w:rPr>
                <w:sz w:val="20"/>
              </w:rPr>
              <w:t>1000 chars</w:t>
            </w:r>
          </w:p>
        </w:tc>
        <w:tc>
          <w:tcPr>
            <w:tcW w:type="dxa" w:w="3600"/>
          </w:tcPr>
          <w:p>
            <w:r>
              <w:rPr>
                <w:sz w:val="20"/>
              </w:rPr>
              <w:t>Maximum size of each text chunk stored in ChromaDB</w:t>
            </w:r>
          </w:p>
        </w:tc>
      </w:tr>
      <w:tr>
        <w:tc>
          <w:tcPr>
            <w:tcW w:type="dxa" w:w="2880"/>
          </w:tcPr>
          <w:p>
            <w:r>
              <w:rPr>
                <w:sz w:val="20"/>
              </w:rPr>
              <w:t>CHUNK_OVERLAP</w:t>
            </w:r>
          </w:p>
        </w:tc>
        <w:tc>
          <w:tcPr>
            <w:tcW w:type="dxa" w:w="2160"/>
          </w:tcPr>
          <w:p>
            <w:r>
              <w:rPr>
                <w:sz w:val="20"/>
              </w:rPr>
              <w:t>200 chars</w:t>
            </w:r>
          </w:p>
        </w:tc>
        <w:tc>
          <w:tcPr>
            <w:tcW w:type="dxa" w:w="3600"/>
          </w:tcPr>
          <w:p>
            <w:r>
              <w:rPr>
                <w:sz w:val="20"/>
              </w:rPr>
              <w:t>Overlap between consecutive chunks to preserve boundary context</w:t>
            </w:r>
          </w:p>
        </w:tc>
      </w:tr>
      <w:tr>
        <w:tc>
          <w:tcPr>
            <w:tcW w:type="dxa" w:w="2880"/>
          </w:tcPr>
          <w:p>
            <w:r>
              <w:rPr>
                <w:sz w:val="20"/>
              </w:rPr>
              <w:t>INITIAL_RETRIEVAL_K</w:t>
            </w:r>
          </w:p>
        </w:tc>
        <w:tc>
          <w:tcPr>
            <w:tcW w:type="dxa" w:w="2160"/>
          </w:tcPr>
          <w:p>
            <w:r>
              <w:rPr>
                <w:sz w:val="20"/>
              </w:rPr>
              <w:t>25</w:t>
            </w:r>
          </w:p>
        </w:tc>
        <w:tc>
          <w:tcPr>
            <w:tcW w:type="dxa" w:w="3600"/>
          </w:tcPr>
          <w:p>
            <w:r>
              <w:rPr>
                <w:sz w:val="20"/>
              </w:rPr>
              <w:t>Candidates retrieved in initial hybrid retrieval stage</w:t>
            </w:r>
          </w:p>
        </w:tc>
      </w:tr>
      <w:tr>
        <w:tc>
          <w:tcPr>
            <w:tcW w:type="dxa" w:w="2880"/>
          </w:tcPr>
          <w:p>
            <w:r>
              <w:rPr>
                <w:sz w:val="20"/>
              </w:rPr>
              <w:t>RERANK_TOP_K</w:t>
            </w:r>
          </w:p>
        </w:tc>
        <w:tc>
          <w:tcPr>
            <w:tcW w:type="dxa" w:w="2160"/>
          </w:tcPr>
          <w:p>
            <w:r>
              <w:rPr>
                <w:sz w:val="20"/>
              </w:rPr>
              <w:t>4</w:t>
            </w:r>
          </w:p>
        </w:tc>
        <w:tc>
          <w:tcPr>
            <w:tcW w:type="dxa" w:w="3600"/>
          </w:tcPr>
          <w:p>
            <w:r>
              <w:rPr>
                <w:sz w:val="20"/>
              </w:rPr>
              <w:t>Chunks retained after cross-encoder reranking</w:t>
            </w:r>
          </w:p>
        </w:tc>
      </w:tr>
      <w:tr>
        <w:tc>
          <w:tcPr>
            <w:tcW w:type="dxa" w:w="2880"/>
          </w:tcPr>
          <w:p>
            <w:r>
              <w:rPr>
                <w:sz w:val="20"/>
              </w:rPr>
              <w:t>RELEVANCE_THRESHOLD (θ)</w:t>
            </w:r>
          </w:p>
        </w:tc>
        <w:tc>
          <w:tcPr>
            <w:tcW w:type="dxa" w:w="2160"/>
          </w:tcPr>
          <w:p>
            <w:r>
              <w:rPr>
                <w:sz w:val="20"/>
              </w:rPr>
              <w:t>−3.0 (logit)</w:t>
            </w:r>
          </w:p>
        </w:tc>
        <w:tc>
          <w:tcPr>
            <w:tcW w:type="dxa" w:w="3600"/>
          </w:tcPr>
          <w:p>
            <w:r>
              <w:rPr>
                <w:sz w:val="20"/>
              </w:rPr>
              <w:t>Score below which a chunk is filtered as insufficiently relevant</w:t>
            </w:r>
          </w:p>
        </w:tc>
      </w:tr>
      <w:tr>
        <w:tc>
          <w:tcPr>
            <w:tcW w:type="dxa" w:w="2880"/>
          </w:tcPr>
          <w:p>
            <w:r>
              <w:rPr>
                <w:sz w:val="20"/>
              </w:rPr>
              <w:t>EMBEDDING_MODEL</w:t>
            </w:r>
          </w:p>
        </w:tc>
        <w:tc>
          <w:tcPr>
            <w:tcW w:type="dxa" w:w="2160"/>
          </w:tcPr>
          <w:p>
            <w:r>
              <w:rPr>
                <w:sz w:val="20"/>
              </w:rPr>
              <w:t>BAAI/bge-small-en-v1.5</w:t>
            </w:r>
          </w:p>
        </w:tc>
        <w:tc>
          <w:tcPr>
            <w:tcW w:type="dxa" w:w="3600"/>
          </w:tcPr>
          <w:p>
            <w:r>
              <w:rPr>
                <w:sz w:val="20"/>
              </w:rPr>
              <w:t>Bi-encoder model for dense embeddings</w:t>
            </w:r>
          </w:p>
        </w:tc>
      </w:tr>
      <w:tr>
        <w:tc>
          <w:tcPr>
            <w:tcW w:type="dxa" w:w="2880"/>
          </w:tcPr>
          <w:p>
            <w:r>
              <w:rPr>
                <w:sz w:val="20"/>
              </w:rPr>
              <w:t>RERANKER_MODEL</w:t>
            </w:r>
          </w:p>
        </w:tc>
        <w:tc>
          <w:tcPr>
            <w:tcW w:type="dxa" w:w="2160"/>
          </w:tcPr>
          <w:p>
            <w:r>
              <w:rPr>
                <w:sz w:val="20"/>
              </w:rPr>
              <w:t>ms-marco-MiniLM-L-6-v2</w:t>
            </w:r>
          </w:p>
        </w:tc>
        <w:tc>
          <w:tcPr>
            <w:tcW w:type="dxa" w:w="3600"/>
          </w:tcPr>
          <w:p>
            <w:r>
              <w:rPr>
                <w:sz w:val="20"/>
              </w:rPr>
              <w:t>Cross-encoder for reranking</w:t>
            </w:r>
          </w:p>
        </w:tc>
      </w:tr>
      <w:tr>
        <w:tc>
          <w:tcPr>
            <w:tcW w:type="dxa" w:w="2880"/>
          </w:tcPr>
          <w:p>
            <w:r>
              <w:rPr>
                <w:sz w:val="20"/>
              </w:rPr>
              <w:t>OLLAMA_MODEL</w:t>
            </w:r>
          </w:p>
        </w:tc>
        <w:tc>
          <w:tcPr>
            <w:tcW w:type="dxa" w:w="2160"/>
          </w:tcPr>
          <w:p>
            <w:r>
              <w:rPr>
                <w:sz w:val="20"/>
              </w:rPr>
              <w:t>llama3.1</w:t>
            </w:r>
          </w:p>
        </w:tc>
        <w:tc>
          <w:tcPr>
            <w:tcW w:type="dxa" w:w="3600"/>
          </w:tcPr>
          <w:p>
            <w:r>
              <w:rPr>
                <w:sz w:val="20"/>
              </w:rPr>
              <w:t>Local LLM for query expansion, generation, and verification</w:t>
            </w:r>
          </w:p>
        </w:tc>
      </w:tr>
      <w:tr>
        <w:tc>
          <w:tcPr>
            <w:tcW w:type="dxa" w:w="2880"/>
          </w:tcPr>
          <w:p>
            <w:r>
              <w:rPr>
                <w:sz w:val="20"/>
              </w:rPr>
              <w:t>RRF_k</w:t>
            </w:r>
          </w:p>
        </w:tc>
        <w:tc>
          <w:tcPr>
            <w:tcW w:type="dxa" w:w="2160"/>
          </w:tcPr>
          <w:p>
            <w:r>
              <w:rPr>
                <w:sz w:val="20"/>
              </w:rPr>
              <w:t>60</w:t>
            </w:r>
          </w:p>
        </w:tc>
        <w:tc>
          <w:tcPr>
            <w:tcW w:type="dxa" w:w="3600"/>
          </w:tcPr>
          <w:p>
            <w:r>
              <w:rPr>
                <w:sz w:val="20"/>
              </w:rPr>
              <w:t>RRF constant controlling rank position influence on fusion score</w:t>
            </w:r>
          </w:p>
        </w:tc>
      </w:tr>
      <w:tr>
        <w:tc>
          <w:tcPr>
            <w:tcW w:type="dxa" w:w="2880"/>
          </w:tcPr>
          <w:p>
            <w:r>
              <w:rPr>
                <w:sz w:val="20"/>
              </w:rPr>
              <w:t>MODEL_DEVICE</w:t>
            </w:r>
          </w:p>
        </w:tc>
        <w:tc>
          <w:tcPr>
            <w:tcW w:type="dxa" w:w="2160"/>
          </w:tcPr>
          <w:p>
            <w:r>
              <w:rPr>
                <w:sz w:val="20"/>
              </w:rPr>
              <w:t>cuda / cpu (auto)</w:t>
            </w:r>
          </w:p>
        </w:tc>
        <w:tc>
          <w:tcPr>
            <w:tcW w:type="dxa" w:w="3600"/>
          </w:tcPr>
          <w:p>
            <w:r>
              <w:rPr>
                <w:sz w:val="20"/>
              </w:rPr>
              <w:t>Hardware selection via PyTorch CUDA availability check</w:t>
            </w:r>
          </w:p>
        </w:tc>
      </w:tr>
      <w:tr>
        <w:tc>
          <w:tcPr>
            <w:tcW w:type="dxa" w:w="2880"/>
          </w:tcPr>
          <w:p>
            <w:r>
              <w:rPr>
                <w:sz w:val="20"/>
              </w:rPr>
              <w:t>CONFIDENCE_REFUSE_THRESHOLD</w:t>
            </w:r>
          </w:p>
        </w:tc>
        <w:tc>
          <w:tcPr>
            <w:tcW w:type="dxa" w:w="2160"/>
          </w:tcPr>
          <w:p>
            <w:r>
              <w:rPr>
                <w:sz w:val="20"/>
              </w:rPr>
              <w:t>40%</w:t>
            </w:r>
          </w:p>
        </w:tc>
        <w:tc>
          <w:tcPr>
            <w:tcW w:type="dxa" w:w="3600"/>
          </w:tcPr>
          <w:p>
            <w:r>
              <w:rPr>
                <w:sz w:val="20"/>
              </w:rPr>
              <w:t>Below this composite score, system refuses to answer</w:t>
            </w:r>
          </w:p>
        </w:tc>
      </w:tr>
      <w:tr>
        <w:tc>
          <w:tcPr>
            <w:tcW w:type="dxa" w:w="2880"/>
          </w:tcPr>
          <w:p>
            <w:r>
              <w:rPr>
                <w:sz w:val="20"/>
              </w:rPr>
              <w:t>Verification ratio weight</w:t>
            </w:r>
          </w:p>
        </w:tc>
        <w:tc>
          <w:tcPr>
            <w:tcW w:type="dxa" w:w="2160"/>
          </w:tcPr>
          <w:p>
            <w:r>
              <w:rPr>
                <w:sz w:val="20"/>
              </w:rPr>
              <w:t>60%</w:t>
            </w:r>
          </w:p>
        </w:tc>
        <w:tc>
          <w:tcPr>
            <w:tcW w:type="dxa" w:w="3600"/>
          </w:tcPr>
          <w:p>
            <w:r>
              <w:rPr>
                <w:sz w:val="20"/>
              </w:rPr>
              <w:t>Weight of claim-level verification ratio in confidence score</w:t>
            </w:r>
          </w:p>
        </w:tc>
      </w:tr>
      <w:tr>
        <w:tc>
          <w:tcPr>
            <w:tcW w:type="dxa" w:w="2880"/>
          </w:tcPr>
          <w:p>
            <w:r>
              <w:rPr>
                <w:sz w:val="20"/>
              </w:rPr>
              <w:t>Retrieval quality weight</w:t>
            </w:r>
          </w:p>
        </w:tc>
        <w:tc>
          <w:tcPr>
            <w:tcW w:type="dxa" w:w="2160"/>
          </w:tcPr>
          <w:p>
            <w:r>
              <w:rPr>
                <w:sz w:val="20"/>
              </w:rPr>
              <w:t>40%</w:t>
            </w:r>
          </w:p>
        </w:tc>
        <w:tc>
          <w:tcPr>
            <w:tcW w:type="dxa" w:w="3600"/>
          </w:tcPr>
          <w:p>
            <w:r>
              <w:rPr>
                <w:sz w:val="20"/>
              </w:rPr>
              <w:t>Weight of normalised reranker score in confidence score</w:t>
            </w:r>
          </w:p>
        </w:tc>
      </w:tr>
    </w:tbl>
    <w:p/>
    <w:p>
      <w:pPr>
        <w:spacing w:after="120"/>
      </w:pPr>
      <w:r>
        <w:rPr>
          <w:rFonts w:ascii="Times New Roman" w:hAnsi="Times New Roman"/>
          <w:b/>
          <w:i w:val="0"/>
          <w:sz w:val="24"/>
        </w:rPr>
        <w:t>Table 3.2 — Supported Legal Domains and Key Statutes</w:t>
      </w:r>
    </w:p>
    <w:tbl>
      <w:tblPr>
        <w:tblStyle w:val="TableGrid"/>
        <w:tblW w:type="auto" w:w="0"/>
        <w:tblLook w:firstColumn="1" w:firstRow="1" w:lastColumn="0" w:lastRow="0" w:noHBand="0" w:noVBand="1" w:val="04A0"/>
      </w:tblPr>
      <w:tblGrid>
        <w:gridCol w:w="4320"/>
        <w:gridCol w:w="4320"/>
      </w:tblGrid>
      <w:tr>
        <w:tc>
          <w:tcPr>
            <w:tcW w:type="dxa" w:w="2880"/>
          </w:tcPr>
          <w:p>
            <w:r>
              <w:rPr>
                <w:b/>
                <w:sz w:val="22"/>
              </w:rPr>
              <w:t>Domain</w:t>
            </w:r>
          </w:p>
        </w:tc>
        <w:tc>
          <w:tcPr>
            <w:tcW w:type="dxa" w:w="5760"/>
          </w:tcPr>
          <w:p>
            <w:r>
              <w:rPr>
                <w:b/>
                <w:sz w:val="22"/>
              </w:rPr>
              <w:t>Key Acts Supported</w:t>
            </w:r>
          </w:p>
        </w:tc>
      </w:tr>
      <w:tr>
        <w:tc>
          <w:tcPr>
            <w:tcW w:type="dxa" w:w="2880"/>
          </w:tcPr>
          <w:p>
            <w:r>
              <w:rPr>
                <w:sz w:val="20"/>
              </w:rPr>
              <w:t>Criminal Law</w:t>
            </w:r>
          </w:p>
        </w:tc>
        <w:tc>
          <w:tcPr>
            <w:tcW w:type="dxa" w:w="5760"/>
          </w:tcPr>
          <w:p>
            <w:r>
              <w:rPr>
                <w:sz w:val="20"/>
              </w:rPr>
              <w:t>BNS 2023, BNSS 2023, BSA 2023, IPC 1860, CrPC 1973</w:t>
            </w:r>
          </w:p>
        </w:tc>
      </w:tr>
      <w:tr>
        <w:tc>
          <w:tcPr>
            <w:tcW w:type="dxa" w:w="2880"/>
          </w:tcPr>
          <w:p>
            <w:r>
              <w:rPr>
                <w:sz w:val="20"/>
              </w:rPr>
              <w:t>Civil / Contract</w:t>
            </w:r>
          </w:p>
        </w:tc>
        <w:tc>
          <w:tcPr>
            <w:tcW w:type="dxa" w:w="5760"/>
          </w:tcPr>
          <w:p>
            <w:r>
              <w:rPr>
                <w:sz w:val="20"/>
              </w:rPr>
              <w:t>Indian Contract Act 1872, Specific Relief Act 1963, Arbitration Act 1996</w:t>
            </w:r>
          </w:p>
        </w:tc>
      </w:tr>
      <w:tr>
        <w:tc>
          <w:tcPr>
            <w:tcW w:type="dxa" w:w="2880"/>
          </w:tcPr>
          <w:p>
            <w:r>
              <w:rPr>
                <w:sz w:val="20"/>
              </w:rPr>
              <w:t>Property</w:t>
            </w:r>
          </w:p>
        </w:tc>
        <w:tc>
          <w:tcPr>
            <w:tcW w:type="dxa" w:w="5760"/>
          </w:tcPr>
          <w:p>
            <w:r>
              <w:rPr>
                <w:sz w:val="20"/>
              </w:rPr>
              <w:t>Transfer of Property Act 1882, Registration Act 1908</w:t>
            </w:r>
          </w:p>
        </w:tc>
      </w:tr>
      <w:tr>
        <w:tc>
          <w:tcPr>
            <w:tcW w:type="dxa" w:w="2880"/>
          </w:tcPr>
          <w:p>
            <w:r>
              <w:rPr>
                <w:sz w:val="20"/>
              </w:rPr>
              <w:t>Family</w:t>
            </w:r>
          </w:p>
        </w:tc>
        <w:tc>
          <w:tcPr>
            <w:tcW w:type="dxa" w:w="5760"/>
          </w:tcPr>
          <w:p>
            <w:r>
              <w:rPr>
                <w:sz w:val="20"/>
              </w:rPr>
              <w:t>Hindu Marriage Act 1955, Dowry Prohibition Act 1961, PWDV Act 2005</w:t>
            </w:r>
          </w:p>
        </w:tc>
      </w:tr>
      <w:tr>
        <w:tc>
          <w:tcPr>
            <w:tcW w:type="dxa" w:w="2880"/>
          </w:tcPr>
          <w:p>
            <w:r>
              <w:rPr>
                <w:sz w:val="20"/>
              </w:rPr>
              <w:t>Consumer</w:t>
            </w:r>
          </w:p>
        </w:tc>
        <w:tc>
          <w:tcPr>
            <w:tcW w:type="dxa" w:w="5760"/>
          </w:tcPr>
          <w:p>
            <w:r>
              <w:rPr>
                <w:sz w:val="20"/>
              </w:rPr>
              <w:t>Consumer Protection Act 2019</w:t>
            </w:r>
          </w:p>
        </w:tc>
      </w:tr>
      <w:tr>
        <w:tc>
          <w:tcPr>
            <w:tcW w:type="dxa" w:w="2880"/>
          </w:tcPr>
          <w:p>
            <w:r>
              <w:rPr>
                <w:sz w:val="20"/>
              </w:rPr>
              <w:t>Digital / Cyber</w:t>
            </w:r>
          </w:p>
        </w:tc>
        <w:tc>
          <w:tcPr>
            <w:tcW w:type="dxa" w:w="5760"/>
          </w:tcPr>
          <w:p>
            <w:r>
              <w:rPr>
                <w:sz w:val="20"/>
              </w:rPr>
              <w:t>Information Technology Act 2000</w:t>
            </w:r>
          </w:p>
        </w:tc>
      </w:tr>
      <w:tr>
        <w:tc>
          <w:tcPr>
            <w:tcW w:type="dxa" w:w="2880"/>
          </w:tcPr>
          <w:p>
            <w:r>
              <w:rPr>
                <w:sz w:val="20"/>
              </w:rPr>
              <w:t>Labour</w:t>
            </w:r>
          </w:p>
        </w:tc>
        <w:tc>
          <w:tcPr>
            <w:tcW w:type="dxa" w:w="5760"/>
          </w:tcPr>
          <w:p>
            <w:r>
              <w:rPr>
                <w:sz w:val="20"/>
              </w:rPr>
              <w:t>Factories Act 1948, Minimum Wages Act 1948, EPF Act 1952</w:t>
            </w:r>
          </w:p>
        </w:tc>
      </w:tr>
      <w:tr>
        <w:tc>
          <w:tcPr>
            <w:tcW w:type="dxa" w:w="2880"/>
          </w:tcPr>
          <w:p>
            <w:r>
              <w:rPr>
                <w:sz w:val="20"/>
              </w:rPr>
              <w:t>Corporate</w:t>
            </w:r>
          </w:p>
        </w:tc>
        <w:tc>
          <w:tcPr>
            <w:tcW w:type="dxa" w:w="5760"/>
          </w:tcPr>
          <w:p>
            <w:r>
              <w:rPr>
                <w:sz w:val="20"/>
              </w:rPr>
              <w:t>Companies Act 2013, Insolvency and Bankruptcy Code 2016</w:t>
            </w:r>
          </w:p>
        </w:tc>
      </w:tr>
      <w:tr>
        <w:tc>
          <w:tcPr>
            <w:tcW w:type="dxa" w:w="2880"/>
          </w:tcPr>
          <w:p>
            <w:r>
              <w:rPr>
                <w:sz w:val="20"/>
              </w:rPr>
              <w:t>Intellectual Property</w:t>
            </w:r>
          </w:p>
        </w:tc>
        <w:tc>
          <w:tcPr>
            <w:tcW w:type="dxa" w:w="5760"/>
          </w:tcPr>
          <w:p>
            <w:r>
              <w:rPr>
                <w:sz w:val="20"/>
              </w:rPr>
              <w:t>Copyright Act 1957, Patents Act 1970, Trade Marks Act 1999</w:t>
            </w:r>
          </w:p>
        </w:tc>
      </w:tr>
      <w:tr>
        <w:tc>
          <w:tcPr>
            <w:tcW w:type="dxa" w:w="2880"/>
          </w:tcPr>
          <w:p>
            <w:r>
              <w:rPr>
                <w:sz w:val="20"/>
              </w:rPr>
              <w:t>Environmental</w:t>
            </w:r>
          </w:p>
        </w:tc>
        <w:tc>
          <w:tcPr>
            <w:tcW w:type="dxa" w:w="5760"/>
          </w:tcPr>
          <w:p>
            <w:r>
              <w:rPr>
                <w:sz w:val="20"/>
              </w:rPr>
              <w:t>Environment Protection Act 1986, Wildlife Protection Act 1972</w:t>
            </w:r>
          </w:p>
        </w:tc>
      </w:tr>
      <w:tr>
        <w:tc>
          <w:tcPr>
            <w:tcW w:type="dxa" w:w="2880"/>
          </w:tcPr>
          <w:p>
            <w:r>
              <w:rPr>
                <w:sz w:val="20"/>
              </w:rPr>
              <w:t>Tax</w:t>
            </w:r>
          </w:p>
        </w:tc>
        <w:tc>
          <w:tcPr>
            <w:tcW w:type="dxa" w:w="5760"/>
          </w:tcPr>
          <w:p>
            <w:r>
              <w:rPr>
                <w:sz w:val="20"/>
              </w:rPr>
              <w:t>Income Tax Act 1961, GST Act 2017, Customs Act 1962</w:t>
            </w:r>
          </w:p>
        </w:tc>
      </w:tr>
      <w:tr>
        <w:tc>
          <w:tcPr>
            <w:tcW w:type="dxa" w:w="2880"/>
          </w:tcPr>
          <w:p>
            <w:r>
              <w:rPr>
                <w:sz w:val="20"/>
              </w:rPr>
              <w:t>Constitutional</w:t>
            </w:r>
          </w:p>
        </w:tc>
        <w:tc>
          <w:tcPr>
            <w:tcW w:type="dxa" w:w="5760"/>
          </w:tcPr>
          <w:p>
            <w:r>
              <w:rPr>
                <w:sz w:val="20"/>
              </w:rPr>
              <w:t>Constitution of India</w:t>
            </w:r>
          </w:p>
        </w:tc>
      </w:tr>
    </w:tbl>
    <w:p/>
    <w:p>
      <w:pPr>
        <w:pStyle w:val="Heading2"/>
        <w:jc w:val="left"/>
      </w:pPr>
      <w:r>
        <w:t>3.3 Sensitivity and Uncertainty Analysis</w:t>
      </w:r>
    </w:p>
    <w:p>
      <w:pPr>
        <w:spacing w:after="120"/>
      </w:pPr>
      <w:r>
        <w:rPr>
          <w:rFonts w:ascii="Times New Roman" w:hAnsi="Times New Roman"/>
          <w:b w:val="0"/>
          <w:i w:val="0"/>
          <w:sz w:val="24"/>
        </w:rPr>
        <w:t>Understanding how the system's behaviour changes as key parameters are varied is important for maintenance and for understanding safety properties. Three parameters were found to have the most significant influence on output quality:</w:t>
      </w:r>
    </w:p>
    <w:p>
      <w:pPr>
        <w:spacing w:after="120"/>
      </w:pPr>
      <w:r>
        <w:rPr>
          <w:rFonts w:ascii="Times New Roman" w:hAnsi="Times New Roman"/>
          <w:b/>
          <w:i w:val="0"/>
          <w:sz w:val="24"/>
        </w:rPr>
        <w:t xml:space="preserve">Sensitivity to INITIAL_RETRIEVAL_K: </w:t>
      </w:r>
      <w:r>
        <w:rPr>
          <w:rFonts w:ascii="Times New Roman" w:hAnsi="Times New Roman"/>
          <w:b w:val="0"/>
          <w:i w:val="0"/>
          <w:sz w:val="24"/>
        </w:rPr>
        <w:t>K controls how many candidate chunks are fetched before reranking. K too low (e.g., 5) risks missing the most relevant chunk. K too high (e.g., 100) increases cross-encoder latency without improving output quality. K = 25 was found optimal through repeated testing.</w:t>
      </w:r>
    </w:p>
    <w:p>
      <w:pPr>
        <w:spacing w:after="120"/>
      </w:pPr>
      <w:r>
        <w:rPr>
          <w:rFonts w:ascii="Times New Roman" w:hAnsi="Times New Roman"/>
          <w:b/>
          <w:i w:val="0"/>
          <w:sz w:val="24"/>
        </w:rPr>
        <w:t xml:space="preserve">Sensitivity to the Relevance Threshold (θ): </w:t>
      </w:r>
      <w:r>
        <w:rPr>
          <w:rFonts w:ascii="Times New Roman" w:hAnsi="Times New Roman"/>
          <w:b w:val="0"/>
          <w:i w:val="0"/>
          <w:sz w:val="24"/>
        </w:rPr>
        <w:t>θ = −3.0 acts as a hard gate: any chunk with cross-encoder logit below this value is discarded before generation. Setting θ too high (e.g., 0.0) caused legitimate queries about niche provisions to be refused. Setting θ too low (e.g., −7.0) allowed tangential statute passages to reach the generator. θ = −3.0 was selected via evaluation against a manually labelled set of 15 queries spanning multiple domains.</w:t>
      </w:r>
    </w:p>
    <w:p>
      <w:pPr>
        <w:spacing w:after="120"/>
      </w:pPr>
      <w:r>
        <w:rPr>
          <w:rFonts w:ascii="Times New Roman" w:hAnsi="Times New Roman"/>
          <w:b/>
          <w:i w:val="0"/>
          <w:sz w:val="24"/>
        </w:rPr>
        <w:t xml:space="preserve">Sensitivity to Chunk Size and Overlap: </w:t>
      </w:r>
      <w:r>
        <w:rPr>
          <w:rFonts w:ascii="Times New Roman" w:hAnsi="Times New Roman"/>
          <w:b w:val="0"/>
          <w:i w:val="0"/>
          <w:sz w:val="24"/>
        </w:rPr>
        <w:t>Legal statute text has a distinctive structure — provisions are numbered sections, and the operative legal rule typically appears within the first 800–1200 characters, followed by explanations and illustrations. CHUNK_SIZE = 1000 characters aligns with this structure. The 200-character overlap is a safety margin for section boundaries that fall mid-sentence during PyMuPDF extraction.</w:t>
      </w:r>
    </w:p>
    <w:p>
      <w:pPr>
        <w:spacing w:after="120"/>
      </w:pPr>
      <w:r>
        <w:rPr>
          <w:rFonts w:ascii="Times New Roman" w:hAnsi="Times New Roman"/>
          <w:b/>
          <w:i w:val="0"/>
          <w:sz w:val="24"/>
        </w:rPr>
        <w:t>Uncertainty Sources and Mitigations: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Uncertainty Source</w:t>
            </w:r>
          </w:p>
        </w:tc>
        <w:tc>
          <w:tcPr>
            <w:tcW w:type="dxa" w:w="4320"/>
          </w:tcPr>
          <w:p>
            <w:r>
              <w:rPr>
                <w:b/>
                <w:sz w:val="22"/>
              </w:rPr>
              <w:t>Mitigation Strategy</w:t>
            </w:r>
          </w:p>
        </w:tc>
      </w:tr>
      <w:tr>
        <w:tc>
          <w:tcPr>
            <w:tcW w:type="dxa" w:w="4320"/>
          </w:tcPr>
          <w:p>
            <w:r>
              <w:rPr>
                <w:sz w:val="20"/>
              </w:rPr>
              <w:t>LLM hallucination in generation</w:t>
            </w:r>
          </w:p>
        </w:tc>
        <w:tc>
          <w:tcPr>
            <w:tcW w:type="dxa" w:w="4320"/>
          </w:tcPr>
          <w:p>
            <w:r>
              <w:rPr>
                <w:sz w:val="20"/>
              </w:rPr>
              <w:t>Chain-of-Verification: each claim audited against evidence</w:t>
            </w:r>
          </w:p>
        </w:tc>
      </w:tr>
      <w:tr>
        <w:tc>
          <w:tcPr>
            <w:tcW w:type="dxa" w:w="4320"/>
          </w:tcPr>
          <w:p>
            <w:r>
              <w:rPr>
                <w:sz w:val="20"/>
              </w:rPr>
              <w:t>Insufficient evidence in knowledge base</w:t>
            </w:r>
          </w:p>
        </w:tc>
        <w:tc>
          <w:tcPr>
            <w:tcW w:type="dxa" w:w="4320"/>
          </w:tcPr>
          <w:p>
            <w:r>
              <w:rPr>
                <w:sz w:val="20"/>
              </w:rPr>
              <w:t>Composite score threshold: refuse if score &lt; 40%</w:t>
            </w:r>
          </w:p>
        </w:tc>
      </w:tr>
      <w:tr>
        <w:tc>
          <w:tcPr>
            <w:tcW w:type="dxa" w:w="4320"/>
          </w:tcPr>
          <w:p>
            <w:r>
              <w:rPr>
                <w:sz w:val="20"/>
              </w:rPr>
              <w:t>Poor query-document vocabulary match</w:t>
            </w:r>
          </w:p>
        </w:tc>
        <w:tc>
          <w:tcPr>
            <w:tcW w:type="dxa" w:w="4320"/>
          </w:tcPr>
          <w:p>
            <w:r>
              <w:rPr>
                <w:sz w:val="20"/>
              </w:rPr>
              <w:t>LLM-based query expansion to formal statutory language</w:t>
            </w:r>
          </w:p>
        </w:tc>
      </w:tr>
      <w:tr>
        <w:tc>
          <w:tcPr>
            <w:tcW w:type="dxa" w:w="4320"/>
          </w:tcPr>
          <w:p>
            <w:r>
              <w:rPr>
                <w:sz w:val="20"/>
              </w:rPr>
              <w:t>Cross-encoder miscalibration</w:t>
            </w:r>
          </w:p>
        </w:tc>
        <w:tc>
          <w:tcPr>
            <w:tcW w:type="dxa" w:w="4320"/>
          </w:tcPr>
          <w:p>
            <w:r>
              <w:rPr>
                <w:sz w:val="20"/>
              </w:rPr>
              <w:t>Hard relevance threshold filter before generation</w:t>
            </w:r>
          </w:p>
        </w:tc>
      </w:tr>
      <w:tr>
        <w:tc>
          <w:tcPr>
            <w:tcW w:type="dxa" w:w="4320"/>
          </w:tcPr>
          <w:p>
            <w:r>
              <w:rPr>
                <w:sz w:val="20"/>
              </w:rPr>
              <w:t>Scanned / non-machine-readable PDFs</w:t>
            </w:r>
          </w:p>
        </w:tc>
        <w:tc>
          <w:tcPr>
            <w:tcW w:type="dxa" w:w="4320"/>
          </w:tcPr>
          <w:p>
            <w:r>
              <w:rPr>
                <w:sz w:val="20"/>
              </w:rPr>
              <w:t>User-facing warning; system only processes embedded text</w:t>
            </w:r>
          </w:p>
        </w:tc>
      </w:tr>
    </w:tbl>
    <w:p/>
    <w:p>
      <w:pPr>
        <w:pStyle w:val="Heading2"/>
        <w:jc w:val="left"/>
      </w:pPr>
      <w:r>
        <w:t>3.4 Component-Level Design Details</w:t>
      </w:r>
    </w:p>
    <w:p>
      <w:pPr>
        <w:spacing w:after="120"/>
      </w:pPr>
      <w:r>
        <w:rPr>
          <w:rFonts w:ascii="Times New Roman" w:hAnsi="Times New Roman"/>
          <w:b/>
          <w:i w:val="0"/>
          <w:sz w:val="24"/>
        </w:rPr>
        <w:t xml:space="preserve">3.4.1 ChromaDB Vector Store: </w:t>
      </w:r>
      <w:r>
        <w:rPr>
          <w:rFonts w:ascii="Times New Roman" w:hAnsi="Times New Roman"/>
          <w:b w:val="0"/>
          <w:i w:val="0"/>
          <w:sz w:val="24"/>
        </w:rPr>
        <w:t>ChromaDB is used as the persistent vector store. The collection named 'indian_law' stores text chunks, their dense embeddings, and metadata (source, act, section, pages, chunk_index). Persistence is maintained through the PersistentClient, ensuring the knowledge base survives system restarts without reindexing.</w:t>
      </w:r>
    </w:p>
    <w:p>
      <w:pPr>
        <w:spacing w:after="120"/>
      </w:pPr>
      <w:r>
        <w:rPr>
          <w:rFonts w:ascii="Times New Roman" w:hAnsi="Times New Roman"/>
          <w:b/>
          <w:i w:val="0"/>
          <w:sz w:val="24"/>
        </w:rPr>
        <w:t xml:space="preserve">3.4.2 Embedder (BAAI/bge-small-en-v1.5): </w:t>
      </w:r>
      <w:r>
        <w:rPr>
          <w:rFonts w:ascii="Times New Roman" w:hAnsi="Times New Roman"/>
          <w:b w:val="0"/>
          <w:i w:val="0"/>
          <w:sz w:val="24"/>
        </w:rPr>
        <w:t>The bi-encoder uses separate encode_documents() and encode_query() calls, reflecting the asymmetric query-document embedding approach required by BGE models. Documents are prefixed with the appropriate instruction for asymmetric retrieval, producing embeddings optimised specifically for passage retrieval.</w:t>
      </w:r>
    </w:p>
    <w:p>
      <w:pPr>
        <w:spacing w:after="120"/>
      </w:pPr>
      <w:r>
        <w:rPr>
          <w:rFonts w:ascii="Times New Roman" w:hAnsi="Times New Roman"/>
          <w:b/>
          <w:i w:val="0"/>
          <w:sz w:val="24"/>
        </w:rPr>
        <w:t xml:space="preserve">3.4.3 In-Memory BM25 Index: </w:t>
      </w:r>
      <w:r>
        <w:rPr>
          <w:rFonts w:ascii="Times New Roman" w:hAnsi="Times New Roman"/>
          <w:b w:val="0"/>
          <w:i w:val="0"/>
          <w:sz w:val="24"/>
        </w:rPr>
        <w:t>On initialisation, VectorSearcher loads the complete document corpus from ChromaDB into memory and builds a BM25 index using rank-bm25. While memory-intensive, this approach avoids per-query corpus loading overhead and provides sub-millisecond BM25 scoring.</w:t>
      </w:r>
    </w:p>
    <w:p>
      <w:pPr>
        <w:spacing w:after="120"/>
      </w:pPr>
      <w:r>
        <w:rPr>
          <w:rFonts w:ascii="Times New Roman" w:hAnsi="Times New Roman"/>
          <w:b/>
          <w:i w:val="0"/>
          <w:sz w:val="24"/>
        </w:rPr>
        <w:t xml:space="preserve">3.4.4 Streamlit Web Interface: </w:t>
      </w:r>
      <w:r>
        <w:rPr>
          <w:rFonts w:ascii="Times New Roman" w:hAnsi="Times New Roman"/>
          <w:b w:val="0"/>
          <w:i w:val="0"/>
          <w:sz w:val="24"/>
        </w:rPr>
        <w:t>The UI provides: a query text box, a response area displaying the verified answer, a confidence indicator, an expandable claims audit panel, a citation list with clickable source PDF links, an expandable document upload section for knowledge base expansion, and a dynamically-rendered Personal Incident Support card for emergency situations.</w:t>
      </w:r>
    </w:p>
    <w:p>
      <w:r>
        <w:br w:type="page"/>
      </w:r>
    </w:p>
    <w:p>
      <w:pPr>
        <w:pStyle w:val="Heading1"/>
        <w:jc w:val="left"/>
      </w:pPr>
      <w:r>
        <w:t>Chapter 4: Methodology / Algorithm Used and Proposed Solution</w:t>
      </w:r>
    </w:p>
    <w:p>
      <w:pPr>
        <w:pStyle w:val="Heading2"/>
        <w:jc w:val="left"/>
      </w:pPr>
      <w:r>
        <w:t>4.1 Document Ingestion Pipeline</w:t>
      </w:r>
    </w:p>
    <w:p>
      <w:pPr>
        <w:spacing w:after="120"/>
      </w:pPr>
      <w:r>
        <w:rPr>
          <w:rFonts w:ascii="Times New Roman" w:hAnsi="Times New Roman"/>
          <w:b w:val="0"/>
          <w:i w:val="0"/>
          <w:sz w:val="24"/>
        </w:rPr>
        <w:t>The build_knowledge_base.py module is responsible for converting raw legal statute PDFs into a searchable vector store. This is a four-stage sequential pipeline, and the quality of every downstream retrieval and generation step depends on how well this stage performs:</w:t>
      </w:r>
    </w:p>
    <w:p>
      <w:pPr>
        <w:spacing w:after="120"/>
      </w:pPr>
      <w:r>
        <w:rPr>
          <w:rFonts w:ascii="Times New Roman" w:hAnsi="Times New Roman"/>
          <w:b/>
          <w:i w:val="0"/>
          <w:sz w:val="24"/>
        </w:rPr>
        <w:t xml:space="preserve">Stage 1 — PDF to Page Text (PyMuPDF): </w:t>
      </w:r>
      <w:r>
        <w:rPr>
          <w:rFonts w:ascii="Times New Roman" w:hAnsi="Times New Roman"/>
          <w:b w:val="0"/>
          <w:i w:val="0"/>
          <w:sz w:val="24"/>
        </w:rPr>
        <w:t>The load_pdf() function calls PyMuPDF's fitz.open() to iterate over pages and extract embedded text, preserving page number metadata. PyMuPDF was selected over alternatives (pdfminer, pdfplumber, pypdf) after testing on BNS and BNSS PDFs: it produced cleaner text from multi-column gazette-format layouts.</w:t>
      </w:r>
    </w:p>
    <w:p>
      <w:pPr>
        <w:spacing w:after="120"/>
      </w:pPr>
      <w:r>
        <w:rPr>
          <w:rFonts w:ascii="Times New Roman" w:hAnsi="Times New Roman"/>
          <w:b/>
          <w:i w:val="0"/>
          <w:sz w:val="24"/>
        </w:rPr>
        <w:t xml:space="preserve">Stage 2 — Text Normalisation (clean_text): </w:t>
      </w:r>
      <w:r>
        <w:rPr>
          <w:rFonts w:ascii="Times New Roman" w:hAnsi="Times New Roman"/>
          <w:b w:val="0"/>
          <w:i w:val="0"/>
          <w:sz w:val="24"/>
        </w:rPr>
        <w:t>Raw PDF-extracted text carries artefacts that degrade retrieval quality: hyphenated line-break re-joining, repeated whitespace and blank line compression, removal of running headers, and Unicode normalisation for transliterated Hindi legal terms.</w:t>
      </w:r>
    </w:p>
    <w:p>
      <w:pPr>
        <w:spacing w:after="120"/>
      </w:pPr>
      <w:r>
        <w:rPr>
          <w:rFonts w:ascii="Times New Roman" w:hAnsi="Times New Roman"/>
          <w:b/>
          <w:i w:val="0"/>
          <w:sz w:val="24"/>
        </w:rPr>
        <w:t xml:space="preserve">Stage 3 — Section-Aware Chunking (chunk_pages): </w:t>
      </w:r>
      <w:r>
        <w:rPr>
          <w:rFonts w:ascii="Times New Roman" w:hAnsi="Times New Roman"/>
          <w:b w:val="0"/>
          <w:i w:val="0"/>
          <w:sz w:val="24"/>
        </w:rPr>
        <w:t>Rather than slicing text at a fixed character count, chunk_pages() first identifies section boundaries using regular expressions matching Indian statute formatting patterns (e.g., ^\d+\.\s, ^Section\s+\d+). This section-alignment means most chunks begin at a section boundary and contain a semantically complete legal provision.</w:t>
      </w:r>
    </w:p>
    <w:p>
      <w:pPr>
        <w:spacing w:after="120"/>
      </w:pPr>
      <w:r>
        <w:rPr>
          <w:rFonts w:ascii="Times New Roman" w:hAnsi="Times New Roman"/>
          <w:b/>
          <w:i w:val="0"/>
          <w:sz w:val="24"/>
        </w:rPr>
        <w:t xml:space="preserve">Stage 4 — Embedding and Persistent Storage: </w:t>
      </w:r>
      <w:r>
        <w:rPr>
          <w:rFonts w:ascii="Times New Roman" w:hAnsi="Times New Roman"/>
          <w:b w:val="0"/>
          <w:i w:val="0"/>
          <w:sz w:val="24"/>
        </w:rPr>
        <w:t>Chunks are batch-processed through the BGE bi-encoder's encode_documents() method. The resulting float32 embedding vectors are stored in ChromaDB via collection.upsert(), which performs an insert-or-update based on chunk ID, preventing duplicates.</w:t>
      </w:r>
    </w:p>
    <w:p>
      <w:pPr>
        <w:spacing w:after="120"/>
        <w:ind w:left="576"/>
      </w:pPr>
      <w:r>
        <w:rPr>
          <w:rFonts w:ascii="Courier New" w:hAnsi="Courier New"/>
          <w:sz w:val="18"/>
        </w:rPr>
        <w:t>For each PDF in data/raw/:</w:t>
        <w:br/>
        <w:t xml:space="preserve">   1. load_pdf()  → list of {page_number, text}</w:t>
        <w:br/>
        <w:t xml:space="preserve">   2. clean_text() → normalised text per page</w:t>
        <w:br/>
        <w:t xml:space="preserve">   3. chunk_pages() → list of {text, act, section, pages, chunk_index}</w:t>
        <w:br/>
        <w:t xml:space="preserve">   4. embedder.encode_documents() → dense vectors</w:t>
        <w:br/>
        <w:t xml:space="preserve">   5. collection.upsert(ids, documents, embeddings, metadatas)</w:t>
      </w:r>
    </w:p>
    <w:p>
      <w:pPr>
        <w:pStyle w:val="Heading2"/>
        <w:jc w:val="left"/>
      </w:pPr>
      <w:r>
        <w:t>4.2 Hybrid Retrieval Algorithm</w:t>
      </w:r>
    </w:p>
    <w:p>
      <w:pPr>
        <w:spacing w:after="120"/>
      </w:pPr>
      <w:r>
        <w:rPr>
          <w:rFonts w:ascii="Times New Roman" w:hAnsi="Times New Roman"/>
          <w:b w:val="0"/>
          <w:i w:val="0"/>
          <w:sz w:val="24"/>
        </w:rPr>
        <w:t>The VectorSearcher.search() method implements a three-stage hybrid retrieval algorithm:</w:t>
      </w:r>
    </w:p>
    <w:p>
      <w:pPr>
        <w:spacing w:after="120"/>
      </w:pPr>
      <w:r>
        <w:rPr>
          <w:rFonts w:ascii="Times New Roman" w:hAnsi="Times New Roman"/>
          <w:b/>
          <w:i w:val="0"/>
          <w:sz w:val="24"/>
        </w:rPr>
        <w:t xml:space="preserve">Stage 1 — Dense Vector Search: </w:t>
      </w:r>
      <w:r>
        <w:rPr>
          <w:rFonts w:ascii="Times New Roman" w:hAnsi="Times New Roman"/>
          <w:b w:val="0"/>
          <w:i w:val="0"/>
          <w:sz w:val="24"/>
        </w:rPr>
        <w:t>The expanded query is embedded using embedder.encode_query(). The resulting query vector is compared against all stored chunk embeddings in ChromaDB using cosine similarity. The top-K (= 25) closest chunks are retrieved.</w:t>
      </w:r>
    </w:p>
    <w:p>
      <w:pPr>
        <w:spacing w:after="120"/>
      </w:pPr>
      <w:r>
        <w:rPr>
          <w:rFonts w:ascii="Times New Roman" w:hAnsi="Times New Roman"/>
          <w:b/>
          <w:i w:val="0"/>
          <w:sz w:val="24"/>
        </w:rPr>
        <w:t xml:space="preserve">Stage 2 — Sparse BM25 Search: </w:t>
      </w:r>
      <w:r>
        <w:rPr>
          <w:rFonts w:ascii="Times New Roman" w:hAnsi="Times New Roman"/>
          <w:b w:val="0"/>
          <w:i w:val="0"/>
          <w:sz w:val="24"/>
        </w:rPr>
        <w:t>The query is tokenised and scored against the in-memory BM25 index using the Okapi BM25 formula: BM25(q,d) = Σᵢ IDF(qᵢ) · [f(qᵢ,d) · (k₁+1)] / [f(qᵢ,d) + k₁ · (1−b+b·|d|/avgdl)]. The top-K BM25-scored chunks are identified.</w:t>
      </w:r>
    </w:p>
    <w:p>
      <w:pPr>
        <w:spacing w:after="120"/>
      </w:pPr>
      <w:r>
        <w:rPr>
          <w:rFonts w:ascii="Times New Roman" w:hAnsi="Times New Roman"/>
          <w:b/>
          <w:i w:val="0"/>
          <w:sz w:val="24"/>
        </w:rPr>
        <w:t xml:space="preserve">Stage 3 — Reciprocal Rank Fusion (RRF): </w:t>
      </w:r>
      <w:r>
        <w:rPr>
          <w:rFonts w:ascii="Times New Roman" w:hAnsi="Times New Roman"/>
          <w:b w:val="0"/>
          <w:i w:val="0"/>
          <w:sz w:val="24"/>
        </w:rPr>
        <w:t>Chunks from both stages are merged using RRF. For each chunk at rank r: RRF(r) = 1 / (k + r), where k = 60. A chunk appearing in both result lists receives contributions from both. The merged list is sorted by descending total RRF score.</w:t>
      </w:r>
    </w:p>
    <w:p>
      <w:pPr>
        <w:pStyle w:val="Heading2"/>
        <w:jc w:val="left"/>
      </w:pPr>
      <w:r>
        <w:t>4.3 Query Expansion Module</w:t>
      </w:r>
    </w:p>
    <w:p>
      <w:pPr>
        <w:spacing w:after="120"/>
      </w:pPr>
      <w:r>
        <w:rPr>
          <w:rFonts w:ascii="Times New Roman" w:hAnsi="Times New Roman"/>
          <w:b w:val="0"/>
          <w:i w:val="0"/>
          <w:sz w:val="24"/>
        </w:rPr>
        <w:t>The QueryExpander.expand_query() method uses the locally running LLaMA 3.1 model with a carefully designed few-shot system prompt to translate colloquial queries into formal Indian legal terminology. The system prompt provides 10 diverse examples covering criminal, civil, family, consumer, digital, and other legal domains.</w:t>
      </w:r>
    </w:p>
    <w:p>
      <w:pPr>
        <w:spacing w:after="120"/>
      </w:pPr>
      <w:r>
        <w:rPr>
          <w:rFonts w:ascii="Times New Roman" w:hAnsi="Times New Roman"/>
          <w:b/>
          <w:i w:val="0"/>
          <w:sz w:val="24"/>
        </w:rPr>
        <w:t>Key Design Decisions:</w:t>
      </w:r>
    </w:p>
    <w:p>
      <w:pPr>
        <w:pStyle w:val="ListBullet"/>
      </w:pPr>
      <w:r>
        <w:rPr>
          <w:rFonts w:ascii="Times New Roman" w:hAnsi="Times New Roman"/>
          <w:sz w:val="24"/>
        </w:rPr>
        <w:t>temperature=0.0 ensures deterministic, reproducible expansion.</w:t>
      </w:r>
    </w:p>
    <w:p>
      <w:pPr>
        <w:pStyle w:val="ListBullet"/>
      </w:pPr>
      <w:r>
        <w:rPr>
          <w:rFonts w:ascii="Times New Roman" w:hAnsi="Times New Roman"/>
          <w:sz w:val="24"/>
        </w:rPr>
        <w:t>The system prompt explicitly prohibits the model from answering the question — it must only reformulate the query.</w:t>
      </w:r>
    </w:p>
    <w:p>
      <w:pPr>
        <w:pStyle w:val="ListBullet"/>
      </w:pPr>
      <w:r>
        <w:rPr>
          <w:rFonts w:ascii="Times New Roman" w:hAnsi="Times New Roman"/>
          <w:sz w:val="24"/>
        </w:rPr>
        <w:t>A graceful fallback returns the original query unmodified if expansion fails.</w:t>
      </w:r>
    </w:p>
    <w:p>
      <w:pPr>
        <w:spacing w:after="120"/>
      </w:pPr>
      <w:r>
        <w:rPr>
          <w:rFonts w:ascii="Times New Roman" w:hAnsi="Times New Roman"/>
          <w:b/>
          <w:i w:val="0"/>
          <w:sz w:val="24"/>
        </w:rPr>
        <w:t>Example query expansions:</w:t>
      </w:r>
    </w:p>
    <w:tbl>
      <w:tblPr>
        <w:tblStyle w:val="TableGrid"/>
        <w:tblW w:type="auto" w:w="0"/>
        <w:tblLook w:firstColumn="1" w:firstRow="1" w:lastColumn="0" w:lastRow="0" w:noHBand="0" w:noVBand="1" w:val="04A0"/>
      </w:tblPr>
      <w:tblGrid>
        <w:gridCol w:w="4320"/>
        <w:gridCol w:w="4320"/>
      </w:tblGrid>
      <w:tr>
        <w:tc>
          <w:tcPr>
            <w:tcW w:type="dxa" w:w="3600"/>
          </w:tcPr>
          <w:p>
            <w:r>
              <w:rPr>
                <w:b/>
                <w:sz w:val="22"/>
              </w:rPr>
              <w:t>Original Query</w:t>
            </w:r>
          </w:p>
        </w:tc>
        <w:tc>
          <w:tcPr>
            <w:tcW w:type="dxa" w:w="5040"/>
          </w:tcPr>
          <w:p>
            <w:r>
              <w:rPr>
                <w:b/>
                <w:sz w:val="22"/>
              </w:rPr>
              <w:t>Expanded Query</w:t>
            </w:r>
          </w:p>
        </w:tc>
      </w:tr>
      <w:tr>
        <w:tc>
          <w:tcPr>
            <w:tcW w:type="dxa" w:w="3600"/>
          </w:tcPr>
          <w:p>
            <w:r>
              <w:rPr>
                <w:sz w:val="20"/>
              </w:rPr>
              <w:t>What happens if someone steals my phone?</w:t>
            </w:r>
          </w:p>
        </w:tc>
        <w:tc>
          <w:tcPr>
            <w:tcW w:type="dxa" w:w="5040"/>
          </w:tcPr>
          <w:p>
            <w:r>
              <w:rPr>
                <w:sz w:val="20"/>
              </w:rPr>
              <w:t>theft of movable property dishonestly taking without consent punishment Bharatiya Nyaya Sanhita BNS</w:t>
            </w:r>
          </w:p>
        </w:tc>
      </w:tr>
      <w:tr>
        <w:tc>
          <w:tcPr>
            <w:tcW w:type="dxa" w:w="3600"/>
          </w:tcPr>
          <w:p>
            <w:r>
              <w:rPr>
                <w:sz w:val="20"/>
              </w:rPr>
              <w:t>Can I break a contract if they lied to me?</w:t>
            </w:r>
          </w:p>
        </w:tc>
        <w:tc>
          <w:tcPr>
            <w:tcW w:type="dxa" w:w="5040"/>
          </w:tcPr>
          <w:p>
            <w:r>
              <w:rPr>
                <w:sz w:val="20"/>
              </w:rPr>
              <w:t>voidability of contract induced by misrepresentation fraud Indian Contract Act 1872</w:t>
            </w:r>
          </w:p>
        </w:tc>
      </w:tr>
    </w:tbl>
    <w:p/>
    <w:p>
      <w:pPr>
        <w:pStyle w:val="Heading2"/>
        <w:jc w:val="left"/>
      </w:pPr>
      <w:r>
        <w:t>4.4 Reranking Mechanism</w:t>
      </w:r>
    </w:p>
    <w:p>
      <w:pPr>
        <w:spacing w:after="120"/>
      </w:pPr>
      <w:r>
        <w:rPr>
          <w:rFonts w:ascii="Times New Roman" w:hAnsi="Times New Roman"/>
          <w:b w:val="0"/>
          <w:i w:val="0"/>
          <w:sz w:val="24"/>
        </w:rPr>
        <w:t>Where the bi-encoder produces independent representations of query and document and compares them via cosine distance, the cross-encoder (cross-encoder/ms-marco-MiniLM-L-6-v2) takes the concatenation [CLS] query [SEP] document [SEP] as input and produces a single scalar relevance score. Because the self-attention mechanism sees both texts together, the model can identify fine-grained relevance signals in a way that independent embeddings cannot. Cross-encoding 25 pairs takes approximately 300–800 milliseconds on CPU — restricting the cross-encoder to only the top-25 RRF candidates keeps latency acceptable.</w:t>
      </w:r>
    </w:p>
    <w:p>
      <w:pPr>
        <w:spacing w:after="120"/>
      </w:pPr>
      <w:r>
        <w:rPr>
          <w:rFonts w:ascii="Times New Roman" w:hAnsi="Times New Roman"/>
          <w:b/>
          <w:i w:val="0"/>
          <w:sz w:val="24"/>
        </w:rPr>
        <w:t>Reranking Procedure:</w:t>
      </w:r>
    </w:p>
    <w:p>
      <w:pPr>
        <w:pStyle w:val="ListBullet"/>
      </w:pPr>
      <w:r>
        <w:rPr>
          <w:rFonts w:ascii="Times New Roman" w:hAnsi="Times New Roman"/>
          <w:sz w:val="24"/>
        </w:rPr>
        <w:t>Create (query, chunk_text) pairs for each of the top-25 RRF candidates.</w:t>
      </w:r>
    </w:p>
    <w:p>
      <w:pPr>
        <w:pStyle w:val="ListBullet"/>
      </w:pPr>
      <w:r>
        <w:rPr>
          <w:rFonts w:ascii="Times New Roman" w:hAnsi="Times New Roman"/>
          <w:sz w:val="24"/>
        </w:rPr>
        <w:t>Batch-score all pairs using the cross-encoder.</w:t>
      </w:r>
    </w:p>
    <w:p>
      <w:pPr>
        <w:pStyle w:val="ListBullet"/>
      </w:pPr>
      <w:r>
        <w:rPr>
          <w:rFonts w:ascii="Times New Roman" w:hAnsi="Times New Roman"/>
          <w:sz w:val="24"/>
        </w:rPr>
        <w:t>Sort candidates by descending cross-encoder logit score.</w:t>
      </w:r>
    </w:p>
    <w:p>
      <w:pPr>
        <w:pStyle w:val="ListBullet"/>
      </w:pPr>
      <w:r>
        <w:rPr>
          <w:rFonts w:ascii="Times New Roman" w:hAnsi="Times New Roman"/>
          <w:sz w:val="24"/>
        </w:rPr>
        <w:t>Filter out any chunk with logit score &lt; θ = −3.0 (hard relevance threshold).</w:t>
      </w:r>
    </w:p>
    <w:p>
      <w:pPr>
        <w:pStyle w:val="ListBullet"/>
      </w:pPr>
      <w:r>
        <w:rPr>
          <w:rFonts w:ascii="Times New Roman" w:hAnsi="Times New Roman"/>
          <w:sz w:val="24"/>
        </w:rPr>
        <w:t>Return the top-4 (RERANK_TOP_K) surviving chunks.</w:t>
      </w:r>
    </w:p>
    <w:p>
      <w:pPr>
        <w:spacing w:after="120"/>
      </w:pPr>
      <w:r>
        <w:rPr>
          <w:rFonts w:ascii="Times New Roman" w:hAnsi="Times New Roman"/>
          <w:b w:val="0"/>
          <w:i w:val="0"/>
          <w:sz w:val="24"/>
        </w:rPr>
        <w:t>If fewer than 1 chunk survives the threshold, the system refuses to generate an answer, triggering the 'Insufficient Evidence' safety response.</w:t>
      </w:r>
    </w:p>
    <w:p>
      <w:pPr>
        <w:pStyle w:val="Heading2"/>
        <w:jc w:val="left"/>
      </w:pPr>
      <w:r>
        <w:t>4.5 Answer Generation Module</w:t>
      </w:r>
    </w:p>
    <w:p>
      <w:pPr>
        <w:spacing w:after="120"/>
      </w:pPr>
      <w:r>
        <w:rPr>
          <w:rFonts w:ascii="Times New Roman" w:hAnsi="Times New Roman"/>
          <w:b w:val="0"/>
          <w:i w:val="0"/>
          <w:sz w:val="24"/>
        </w:rPr>
        <w:t>The answer generation module sends a structured prompt to the LLaMA 3.1 8B Instruct model running locally via Ollama. temperature=0.0 is used to maximise factual consistency and reproducibility. The instruction to cite section numbers enables the UI to link answers back to source PDFs.</w:t>
      </w:r>
    </w:p>
    <w:p>
      <w:pPr>
        <w:spacing w:after="120"/>
        <w:ind w:left="576"/>
      </w:pPr>
      <w:r>
        <w:rPr>
          <w:rFonts w:ascii="Courier New" w:hAnsi="Courier New"/>
          <w:sz w:val="18"/>
        </w:rPr>
        <w:t>SYSTEM: You are an expert Indian legal assistant. Answer ONLY from the</w:t>
        <w:br/>
        <w:t>provided evidence chunks. Cite the relevant section numbers. If the</w:t>
        <w:br/>
        <w:t>evidence does not support the question, say so explicitly.</w:t>
        <w:br/>
        <w:br/>
        <w:t>USER: QUERY: {expanded_query}</w:t>
        <w:br/>
        <w:br/>
        <w:t>EVIDENCE:</w:t>
        <w:br/>
        <w:t>[Chunk 1 — {act}, Section {section}]: {chunk_text}</w:t>
        <w:br/>
        <w:t>[Chunk 2 — {act}, Section {section}]: {chunk_text}</w:t>
        <w:br/>
        <w:t>...</w:t>
        <w:br/>
        <w:t>Please provide a clear, accurate answer citing relevant sections.</w:t>
      </w:r>
    </w:p>
    <w:p>
      <w:pPr>
        <w:pStyle w:val="Heading2"/>
        <w:jc w:val="left"/>
      </w:pPr>
      <w:r>
        <w:t>4.6 Chain-of-Verification Algorithm</w:t>
      </w:r>
    </w:p>
    <w:p>
      <w:pPr>
        <w:spacing w:after="120"/>
      </w:pPr>
      <w:r>
        <w:rPr>
          <w:rFonts w:ascii="Times New Roman" w:hAnsi="Times New Roman"/>
          <w:b w:val="0"/>
          <w:i w:val="0"/>
          <w:sz w:val="24"/>
        </w:rPr>
        <w:t>The AnswerVerifier.verify_and_score() method implements a structured CoVe protocol:</w:t>
      </w:r>
    </w:p>
    <w:p>
      <w:pPr>
        <w:spacing w:after="120"/>
        <w:ind w:left="576"/>
      </w:pPr>
      <w:r>
        <w:rPr>
          <w:rFonts w:ascii="Courier New" w:hAnsi="Courier New"/>
          <w:sz w:val="18"/>
        </w:rPr>
        <w:t>Algorithm: Chain-of-Verification</w:t>
        <w:br/>
        <w:br/>
        <w:t>Input:  query q, generated_answer a, evidence_chunks C</w:t>
        <w:br/>
        <w:t>Output: verified_answer, confidence_score, confidence_tier, status</w:t>
        <w:br/>
        <w:br/>
        <w:t>1.  IF a begins with 'I cannot answer' OR C is empty:</w:t>
        <w:br/>
        <w:t xml:space="preserve">        RETURN status='refused', confidence=0.0</w:t>
        <w:br/>
        <w:br/>
        <w:t>2.  Construct verification prompt:</w:t>
        <w:br/>
        <w:t xml:space="preserve">    - System: 'Decompose the DRAFT ANSWER into discrete claims.</w:t>
        <w:br/>
        <w:t xml:space="preserve">               Check each claim against the PROVIDED EVIDENCE.</w:t>
        <w:br/>
        <w:t xml:space="preserve">               Output JSON: {claims:[{claim:..., supported:true/false}]}</w:t>
        <w:br/>
        <w:t xml:space="preserve">               DO NOT use outside knowledge.'</w:t>
        <w:br/>
        <w:br/>
        <w:t>3.  Call LLaMA 3.1 with temperature=0.0, response_format=json_object</w:t>
        <w:br/>
        <w:br/>
        <w:t>4.  Parse JSON → claims_list</w:t>
        <w:br/>
        <w:br/>
        <w:t>5.  verification_ratio = supported_count / total_count</w:t>
        <w:br/>
        <w:br/>
        <w:t>6.  normalised_rerank = clamp((avg_rerank_score + 1.0) / 2.0, 0, 1)</w:t>
        <w:br/>
        <w:br/>
        <w:t>7.  composite_score = (verification_ratio×0.60 + normalised_rerank×0.40) × 100</w:t>
        <w:br/>
        <w:br/>
        <w:t>8.  IF composite_score &lt; 40:    RETURN 'Insufficient Evidence'</w:t>
        <w:br/>
        <w:t>9.  IF any claim unsupported:   RETURN 'Hallucination Detected'</w:t>
        <w:br/>
        <w:t>10. IF score &gt;= 80: tier='High Confidence'</w:t>
        <w:br/>
        <w:t xml:space="preserve">    ELSE:           tier='Moderate Confidence'</w:t>
        <w:br/>
        <w:t>11. RETURN verified_answer, confidence_score, tier, status='verified'</w:t>
      </w:r>
    </w:p>
    <w:p>
      <w:pPr>
        <w:pStyle w:val="Heading2"/>
        <w:jc w:val="left"/>
      </w:pPr>
      <w:r>
        <w:t>4.7 Confidence Scoring Algorithm</w:t>
      </w:r>
    </w:p>
    <w:p>
      <w:pPr>
        <w:spacing w:after="120"/>
      </w:pPr>
      <w:r>
        <w:rPr>
          <w:rFonts w:ascii="Times New Roman" w:hAnsi="Times New Roman"/>
          <w:b w:val="0"/>
          <w:i w:val="0"/>
          <w:sz w:val="24"/>
        </w:rPr>
        <w:t>The composite confidence score S is computed as:</w:t>
      </w:r>
    </w:p>
    <w:p>
      <w:pPr>
        <w:spacing w:after="120"/>
      </w:pPr>
      <w:r>
        <w:rPr>
          <w:rFonts w:ascii="Times New Roman" w:hAnsi="Times New Roman"/>
          <w:b/>
          <w:i w:val="0"/>
          <w:sz w:val="24"/>
        </w:rPr>
        <w:t>S = (V × 0.60 + N_rerank × 0.40) × 100</w:t>
      </w:r>
    </w:p>
    <w:p>
      <w:pPr>
        <w:spacing w:after="120"/>
      </w:pPr>
      <w:r>
        <w:rPr>
          <w:rFonts w:ascii="Times New Roman" w:hAnsi="Times New Roman"/>
          <w:b w:val="0"/>
          <w:i w:val="0"/>
          <w:sz w:val="24"/>
        </w:rPr>
        <w:t>where:</w:t>
      </w:r>
    </w:p>
    <w:p>
      <w:pPr>
        <w:pStyle w:val="ListBullet"/>
      </w:pPr>
      <w:r>
        <w:rPr>
          <w:rFonts w:ascii="Times New Roman" w:hAnsi="Times New Roman"/>
          <w:sz w:val="24"/>
        </w:rPr>
        <w:t>V = verification ratio = (number of supported claims) / (total claims)</w:t>
      </w:r>
    </w:p>
    <w:p>
      <w:pPr>
        <w:pStyle w:val="ListBullet"/>
      </w:pPr>
      <w:r>
        <w:rPr>
          <w:rFonts w:ascii="Times New Roman" w:hAnsi="Times New Roman"/>
          <w:sz w:val="24"/>
        </w:rPr>
        <w:t>N_rerank = normalised reranker score = clamp((avg_rerank_score + 1.0) / 2.0, 0.0, 1.0)</w:t>
      </w:r>
    </w:p>
    <w:p>
      <w:pPr>
        <w:spacing w:after="120"/>
      </w:pPr>
      <w:r>
        <w:rPr>
          <w:rFonts w:ascii="Times New Roman" w:hAnsi="Times New Roman"/>
          <w:b w:val="0"/>
          <w:i w:val="0"/>
          <w:sz w:val="24"/>
        </w:rPr>
        <w:t>This weighting (60% verification quality, 40% retrieval quality) reflects the primacy of claim-level verification in the legal domain, where factual accuracy is more important than retrieval recall.</w:t>
      </w:r>
    </w:p>
    <w:p>
      <w:pPr>
        <w:spacing w:after="120"/>
      </w:pPr>
      <w:r>
        <w:rPr>
          <w:rFonts w:ascii="Times New Roman" w:hAnsi="Times New Roman"/>
          <w:b/>
          <w:i w:val="0"/>
          <w:sz w:val="24"/>
        </w:rPr>
        <w:t>Table 4.1 — Confidence Score Tier Thresholds</w:t>
      </w:r>
    </w:p>
    <w:tbl>
      <w:tblPr>
        <w:tblStyle w:val="TableGrid"/>
        <w:tblW w:type="auto" w:w="0"/>
        <w:tblLook w:firstColumn="1" w:firstRow="1" w:lastColumn="0" w:lastRow="0" w:noHBand="0" w:noVBand="1" w:val="04A0"/>
      </w:tblPr>
      <w:tblGrid>
        <w:gridCol w:w="2880"/>
        <w:gridCol w:w="2880"/>
        <w:gridCol w:w="2880"/>
      </w:tblGrid>
      <w:tr>
        <w:tc>
          <w:tcPr>
            <w:tcW w:type="dxa" w:w="2160"/>
          </w:tcPr>
          <w:p>
            <w:r>
              <w:rPr>
                <w:b/>
                <w:sz w:val="22"/>
              </w:rPr>
              <w:t>Score Range</w:t>
            </w:r>
          </w:p>
        </w:tc>
        <w:tc>
          <w:tcPr>
            <w:tcW w:type="dxa" w:w="2880"/>
          </w:tcPr>
          <w:p>
            <w:r>
              <w:rPr>
                <w:b/>
                <w:sz w:val="22"/>
              </w:rPr>
              <w:t>Tier</w:t>
            </w:r>
          </w:p>
        </w:tc>
        <w:tc>
          <w:tcPr>
            <w:tcW w:type="dxa" w:w="3600"/>
          </w:tcPr>
          <w:p>
            <w:r>
              <w:rPr>
                <w:b/>
                <w:sz w:val="22"/>
              </w:rPr>
              <w:t>Meaning</w:t>
            </w:r>
          </w:p>
        </w:tc>
      </w:tr>
      <w:tr>
        <w:tc>
          <w:tcPr>
            <w:tcW w:type="dxa" w:w="2160"/>
          </w:tcPr>
          <w:p>
            <w:r>
              <w:rPr>
                <w:sz w:val="20"/>
              </w:rPr>
              <w:t>S ≥ 80%</w:t>
            </w:r>
          </w:p>
        </w:tc>
        <w:tc>
          <w:tcPr>
            <w:tcW w:type="dxa" w:w="2880"/>
          </w:tcPr>
          <w:p>
            <w:r>
              <w:rPr>
                <w:sz w:val="20"/>
              </w:rPr>
              <w:t>High Confidence</w:t>
            </w:r>
          </w:p>
        </w:tc>
        <w:tc>
          <w:tcPr>
            <w:tcW w:type="dxa" w:w="3600"/>
          </w:tcPr>
          <w:p>
            <w:r>
              <w:rPr>
                <w:sz w:val="20"/>
              </w:rPr>
              <w:t>All claims supported; strong retrieval quality</w:t>
            </w:r>
          </w:p>
        </w:tc>
      </w:tr>
      <w:tr>
        <w:tc>
          <w:tcPr>
            <w:tcW w:type="dxa" w:w="2160"/>
          </w:tcPr>
          <w:p>
            <w:r>
              <w:rPr>
                <w:sz w:val="20"/>
              </w:rPr>
              <w:t>40% ≤ S &lt; 80%</w:t>
            </w:r>
          </w:p>
        </w:tc>
        <w:tc>
          <w:tcPr>
            <w:tcW w:type="dxa" w:w="2880"/>
          </w:tcPr>
          <w:p>
            <w:r>
              <w:rPr>
                <w:sz w:val="20"/>
              </w:rPr>
              <w:t>Moderate Confidence</w:t>
            </w:r>
          </w:p>
        </w:tc>
        <w:tc>
          <w:tcPr>
            <w:tcW w:type="dxa" w:w="3600"/>
          </w:tcPr>
          <w:p>
            <w:r>
              <w:rPr>
                <w:sz w:val="20"/>
              </w:rPr>
              <w:t>All claims supported; moderate retrieval quality</w:t>
            </w:r>
          </w:p>
        </w:tc>
      </w:tr>
      <w:tr>
        <w:tc>
          <w:tcPr>
            <w:tcW w:type="dxa" w:w="2160"/>
          </w:tcPr>
          <w:p>
            <w:r>
              <w:rPr>
                <w:sz w:val="20"/>
              </w:rPr>
              <w:t>S &lt; 40%</w:t>
            </w:r>
          </w:p>
        </w:tc>
        <w:tc>
          <w:tcPr>
            <w:tcW w:type="dxa" w:w="2880"/>
          </w:tcPr>
          <w:p>
            <w:r>
              <w:rPr>
                <w:sz w:val="20"/>
              </w:rPr>
              <w:t>Refused</w:t>
            </w:r>
          </w:p>
        </w:tc>
        <w:tc>
          <w:tcPr>
            <w:tcW w:type="dxa" w:w="3600"/>
          </w:tcPr>
          <w:p>
            <w:r>
              <w:rPr>
                <w:sz w:val="20"/>
              </w:rPr>
              <w:t>Evidence insufficient; no answer presented</w:t>
            </w:r>
          </w:p>
        </w:tc>
      </w:tr>
      <w:tr>
        <w:tc>
          <w:tcPr>
            <w:tcW w:type="dxa" w:w="2160"/>
          </w:tcPr>
          <w:p>
            <w:r>
              <w:rPr>
                <w:sz w:val="20"/>
              </w:rPr>
              <w:t>Any unsupported claim</w:t>
            </w:r>
          </w:p>
        </w:tc>
        <w:tc>
          <w:tcPr>
            <w:tcW w:type="dxa" w:w="2880"/>
          </w:tcPr>
          <w:p>
            <w:r>
              <w:rPr>
                <w:sz w:val="20"/>
              </w:rPr>
              <w:t>Refused (Hallucination)</w:t>
            </w:r>
          </w:p>
        </w:tc>
        <w:tc>
          <w:tcPr>
            <w:tcW w:type="dxa" w:w="3600"/>
          </w:tcPr>
          <w:p>
            <w:r>
              <w:rPr>
                <w:sz w:val="20"/>
              </w:rPr>
              <w:t>One or more claims not grounded in evidence</w:t>
            </w:r>
          </w:p>
        </w:tc>
      </w:tr>
    </w:tbl>
    <w:p/>
    <w:p>
      <w:pPr>
        <w:pStyle w:val="Heading2"/>
        <w:jc w:val="left"/>
      </w:pPr>
      <w:r>
        <w:t>4.8 Safety Guardrail Design</w:t>
      </w:r>
    </w:p>
    <w:p>
      <w:pPr>
        <w:spacing w:after="120"/>
      </w:pPr>
      <w:r>
        <w:rPr>
          <w:rFonts w:ascii="Times New Roman" w:hAnsi="Times New Roman"/>
          <w:b w:val="0"/>
          <w:i w:val="0"/>
          <w:sz w:val="24"/>
        </w:rPr>
        <w:t>The system implements a four-layer safety architecture operating at different pipeline stages:</w:t>
      </w:r>
    </w:p>
    <w:p>
      <w:pPr>
        <w:spacing w:after="120"/>
      </w:pPr>
      <w:r>
        <w:rPr>
          <w:rFonts w:ascii="Times New Roman" w:hAnsi="Times New Roman"/>
          <w:b/>
          <w:i w:val="0"/>
          <w:sz w:val="24"/>
        </w:rPr>
        <w:t>Table 4.2 — Safety Guardrail Refusal Conditions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Layer</w:t>
            </w:r>
          </w:p>
        </w:tc>
        <w:tc>
          <w:tcPr>
            <w:tcW w:type="dxa" w:w="2880"/>
          </w:tcPr>
          <w:p>
            <w:r>
              <w:rPr>
                <w:b/>
                <w:sz w:val="22"/>
              </w:rPr>
              <w:t>Trigger</w:t>
            </w:r>
          </w:p>
        </w:tc>
        <w:tc>
          <w:tcPr>
            <w:tcW w:type="dxa" w:w="2880"/>
          </w:tcPr>
          <w:p>
            <w:r>
              <w:rPr>
                <w:b/>
                <w:sz w:val="22"/>
              </w:rPr>
              <w:t>Response</w:t>
            </w:r>
          </w:p>
        </w:tc>
      </w:tr>
      <w:tr>
        <w:tc>
          <w:tcPr>
            <w:tcW w:type="dxa" w:w="2880"/>
          </w:tcPr>
          <w:p>
            <w:r>
              <w:rPr>
                <w:sz w:val="20"/>
              </w:rPr>
              <w:t>Layer 1 — Retrieval Guard</w:t>
            </w:r>
          </w:p>
        </w:tc>
        <w:tc>
          <w:tcPr>
            <w:tcW w:type="dxa" w:w="2880"/>
          </w:tcPr>
          <w:p>
            <w:r>
              <w:rPr>
                <w:sz w:val="20"/>
              </w:rPr>
              <w:t>No chunks survive the relevance threshold</w:t>
            </w:r>
          </w:p>
        </w:tc>
        <w:tc>
          <w:tcPr>
            <w:tcW w:type="dxa" w:w="2880"/>
          </w:tcPr>
          <w:p>
            <w:r>
              <w:rPr>
                <w:sz w:val="20"/>
              </w:rPr>
              <w:t>Insufficient Evidence — No Answer Generated</w:t>
            </w:r>
          </w:p>
        </w:tc>
      </w:tr>
      <w:tr>
        <w:tc>
          <w:tcPr>
            <w:tcW w:type="dxa" w:w="2880"/>
          </w:tcPr>
          <w:p>
            <w:r>
              <w:rPr>
                <w:sz w:val="20"/>
              </w:rPr>
              <w:t>Layer 2 — Verification Score Guard</w:t>
            </w:r>
          </w:p>
        </w:tc>
        <w:tc>
          <w:tcPr>
            <w:tcW w:type="dxa" w:w="2880"/>
          </w:tcPr>
          <w:p>
            <w:r>
              <w:rPr>
                <w:sz w:val="20"/>
              </w:rPr>
              <w:t>Composite confidence score &lt; 40%</w:t>
            </w:r>
          </w:p>
        </w:tc>
        <w:tc>
          <w:tcPr>
            <w:tcW w:type="dxa" w:w="2880"/>
          </w:tcPr>
          <w:p>
            <w:r>
              <w:rPr>
                <w:sz w:val="20"/>
              </w:rPr>
              <w:t>Insufficient Evidence — No Answer Generated</w:t>
            </w:r>
          </w:p>
        </w:tc>
      </w:tr>
      <w:tr>
        <w:tc>
          <w:tcPr>
            <w:tcW w:type="dxa" w:w="2880"/>
          </w:tcPr>
          <w:p>
            <w:r>
              <w:rPr>
                <w:sz w:val="20"/>
              </w:rPr>
              <w:t>Layer 3 — Hallucination Guard</w:t>
            </w:r>
          </w:p>
        </w:tc>
        <w:tc>
          <w:tcPr>
            <w:tcW w:type="dxa" w:w="2880"/>
          </w:tcPr>
          <w:p>
            <w:r>
              <w:rPr>
                <w:sz w:val="20"/>
              </w:rPr>
              <w:t>One or more claims not supported by evidence</w:t>
            </w:r>
          </w:p>
        </w:tc>
        <w:tc>
          <w:tcPr>
            <w:tcW w:type="dxa" w:w="2880"/>
          </w:tcPr>
          <w:p>
            <w:r>
              <w:rPr>
                <w:sz w:val="20"/>
              </w:rPr>
              <w:t>Hallucination Detected — No Answer Generated</w:t>
            </w:r>
          </w:p>
        </w:tc>
      </w:tr>
      <w:tr>
        <w:tc>
          <w:tcPr>
            <w:tcW w:type="dxa" w:w="2880"/>
          </w:tcPr>
          <w:p>
            <w:r>
              <w:rPr>
                <w:sz w:val="20"/>
              </w:rPr>
              <w:t>Layer 4 — Service Unavailability</w:t>
            </w:r>
          </w:p>
        </w:tc>
        <w:tc>
          <w:tcPr>
            <w:tcW w:type="dxa" w:w="2880"/>
          </w:tcPr>
          <w:p>
            <w:r>
              <w:rPr>
                <w:sz w:val="20"/>
              </w:rPr>
              <w:t>LLM or verifier API call fails</w:t>
            </w:r>
          </w:p>
        </w:tc>
        <w:tc>
          <w:tcPr>
            <w:tcW w:type="dxa" w:w="2880"/>
          </w:tcPr>
          <w:p>
            <w:r>
              <w:rPr>
                <w:sz w:val="20"/>
              </w:rPr>
              <w:t>Verification Unavailable — No Answer Generated</w:t>
            </w:r>
          </w:p>
        </w:tc>
      </w:tr>
    </w:tbl>
    <w:p/>
    <w:p>
      <w:pPr>
        <w:spacing w:after="120"/>
      </w:pPr>
      <w:r>
        <w:rPr>
          <w:rFonts w:ascii="Times New Roman" w:hAnsi="Times New Roman"/>
          <w:b w:val="0"/>
          <w:i w:val="0"/>
          <w:sz w:val="24"/>
        </w:rPr>
        <w:t>A deliberate design decision was made to make each refusal informative rather than generic. Instead of returning a single error message, the system returns one of four distinct refusal messages, each explaining precisely why the system chose not to answer and what the user can do next. This specificity was found during testing to substantially reduce user frustration in scenarios where a legitimate query triggered a refusal due to an overly broad or informally phrased question.</w:t>
      </w:r>
    </w:p>
    <w:p>
      <w:pPr>
        <w:spacing w:after="120"/>
      </w:pPr>
      <w:r>
        <w:rPr>
          <w:rFonts w:ascii="Times New Roman" w:hAnsi="Times New Roman"/>
          <w:b w:val="0"/>
          <w:i w:val="0"/>
          <w:sz w:val="24"/>
        </w:rPr>
        <w:t>The Personal Incident Support feature was implemented as a response to a use-case that emerged during early system testing: users who described being a victim of a crime were receiving purely legal information when they actually needed immediate safety guidance first. When triggered, a deterministic guidance card is rendered using hardcoded official information: the national emergency number (112), the cyber fraud helpline (1930), the National Cyber Crime Reporting Portal URL, evidence preservation steps, and NALSA free legal aid contacts (15100). No part of this guidance panel is generated by the LLM — every phone number, URL, and procedural step is hardcoded and verified against official government sources.</w:t>
      </w:r>
    </w:p>
    <w:p>
      <w:r>
        <w:br w:type="page"/>
      </w:r>
    </w:p>
    <w:p>
      <w:pPr>
        <w:spacing w:after="120"/>
      </w:pPr>
      <w:r>
        <w:rPr>
          <w:rFonts w:ascii="Times New Roman" w:hAnsi="Times New Roman"/>
          <w:b w:val="0"/>
          <w:i/>
          <w:sz w:val="24"/>
        </w:rPr>
        <w:t>Note to Examiner: The subsequent chapters (Chapter 5: Validation of Modelling Technique, Chapter 6: Performance Evaluation Results and Discussion, Chapter 7: Conclusions and Recommendations, Chapter 8: References, Chapter 9: Published Paper) will be submitted as part of the second-stage project documentation upon completion of the full system evaluation cycle.</w:t>
      </w:r>
    </w:p>
    <w:p/>
    <w:p>
      <w:pPr>
        <w:spacing w:after="120"/>
      </w:pPr>
      <w:r>
        <w:rPr>
          <w:rFonts w:ascii="Times New Roman" w:hAnsi="Times New Roman"/>
          <w:b/>
          <w:i w:val="0"/>
          <w:sz w:val="24"/>
        </w:rPr>
        <w:t>[STUDENT NAME(S)]</w:t>
        <w:br/>
        <w:t>Roll No.: [ROLL NUMBER(S)]</w:t>
        <w:br/>
        <w:t>TY AI/ML, 2026–2027</w:t>
        <w:br/>
        <w:t>Department of Information Technology &amp; AI/ML</w:t>
        <w:br/>
        <w:t>[COLLEGE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