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40AF"/>
          <w:sz w:val="18"/>
          <w:szCs w:val="18"/>
        </w:rPr>
        <w:t xml:space="preserve">OFFICIAL RESERVE BANK OF INDIA (RBI DBIE) AUDITED DATASET</w:t>
      </w:r>
    </w:p>
    <w:p>
      <w:pPr>
        <w:spacing w:after="100"/>
      </w:pPr>
      <w:r>
        <w:rPr>
          <w:b/>
          <w:bCs/>
          <w:color w:val="0F172A"/>
          <w:sz w:val="36"/>
          <w:szCs w:val="36"/>
        </w:rPr>
        <w:t xml:space="preserve">Executive Banking Performance &amp; Financial Intelligence Report</w:t>
      </w:r>
    </w:p>
    <w:p>
      <w:pPr>
        <w:spacing w:after="200"/>
      </w:pPr>
      <w:r>
        <w:rPr>
          <w:i/>
          <w:iCs/>
          <w:color w:val="475569"/>
          <w:sz w:val="22"/>
          <w:szCs w:val="22"/>
        </w:rPr>
        <w:t xml:space="preserve">Multi-Year System Surveillance: FY2018 – FY2024 • Scheduled Commercial Banks (SCBs)</w:t>
      </w:r>
    </w:p>
    <w:p>
      <w:pPr>
        <w:spacing w:after="300"/>
      </w:pPr>
      <w:r>
        <w:rPr>
          <w:color w:val="64748B"/>
          <w:sz w:val="18"/>
          <w:szCs w:val="18"/>
        </w:rPr>
        <w:t xml:space="preserve">Published: Audited FY2024 Returns   |   Source: RBI DBIE Central Warehouse   |   Classification: Executive Boardroom Report</w:t>
      </w:r>
    </w:p>
    <w:p>
      <w:pPr>
        <w:spacing w:after="250"/>
      </w:pPr>
      <w:r>
        <w:rPr>
          <w:color w:val="CBD5E1"/>
        </w:rPr>
        <w:t xml:space="preserve">_________________________________________________________________________________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1. Executive Summary &amp; Macro Highlights</w:t>
      </w:r>
    </w:p>
    <w:p>
      <w:pPr>
        <w:spacing w:after="160"/>
      </w:pPr>
      <w:r>
        <w:rPr>
          <w:color w:val="334155"/>
          <w:sz w:val="22"/>
          <w:szCs w:val="22"/>
        </w:rPr>
        <w:t xml:space="preserve">The Indian Scheduled Commercial Banking (SCB) system has demonstrated unprecedented structural strength throughout the FY2018–FY2024 surveillance cycle. Gross Non-Performing Assets (GNPA) have dropped dramatically to a multi-decade record low of </w:t>
      </w:r>
      <w:r>
        <w:rPr>
          <w:b/>
          <w:bCs/>
          <w:color w:val="15803D"/>
          <w:sz w:val="22"/>
          <w:szCs w:val="22"/>
        </w:rPr>
        <w:t xml:space="preserve">2.80% in FY2024</w:t>
      </w:r>
      <w:r>
        <w:rPr>
          <w:color w:val="334155"/>
          <w:sz w:val="22"/>
          <w:szCs w:val="22"/>
        </w:rPr>
        <w:t xml:space="preserve"> (compared to 11.18% in FY2018), marking a total contraction of 838 basis points. Return on Assets (RoA) has rebounded to a historic high of </w:t>
      </w:r>
      <w:r>
        <w:rPr>
          <w:b/>
          <w:bCs/>
          <w:color w:val="1E40AF"/>
          <w:sz w:val="22"/>
          <w:szCs w:val="22"/>
        </w:rPr>
        <w:t xml:space="preserve">+1.15%</w:t>
      </w:r>
      <w:r>
        <w:rPr>
          <w:color w:val="334155"/>
          <w:sz w:val="22"/>
          <w:szCs w:val="22"/>
        </w:rPr>
        <w:t xml:space="preserve"> from -0.30% in FY2018, confirming a complete systemic turnaround.</w:t>
      </w:r>
    </w:p>
    <w:p>
      <w:pPr>
        <w:spacing w:after="240"/>
      </w:pPr>
      <w:r>
        <w:rPr>
          <w:color w:val="334155"/>
          <w:sz w:val="22"/>
          <w:szCs w:val="22"/>
        </w:rPr>
        <w:t xml:space="preserve">However, rapid credit expansion (+15.3% YoY to ₹164.20 Lakh Crore) continues to significantly outstrip deposit mobilization (+11.4% YoY to ₹204.38 Lakh Crore). This divergence has propelled the aggregate Credit-Deposit (CD) ratio to </w:t>
      </w:r>
      <w:r>
        <w:rPr>
          <w:b/>
          <w:bCs/>
          <w:color w:val="B45309"/>
          <w:sz w:val="22"/>
          <w:szCs w:val="22"/>
        </w:rPr>
        <w:t xml:space="preserve">80.34%</w:t>
      </w:r>
      <w:r>
        <w:rPr>
          <w:color w:val="334155"/>
          <w:sz w:val="22"/>
          <w:szCs w:val="22"/>
        </w:rPr>
        <w:t xml:space="preserve">—breaching the RBI recommended comfort threshold of 75.00% by 534 basis points and requiring disciplined liquidity and liability management.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2. National Core Banking Performance Matrix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FY2024 Value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FY2018 Baseline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Trajectory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Prudential Status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Total Deposits</w:t>
            </w:r>
          </w:p>
        </w:tc>
        <w:tc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₹204.38 Lakh Cr</w:t>
            </w:r>
          </w:p>
        </w:tc>
        <w:tc>
          <w:p>
            <w:r>
              <w:rPr>
                <w:sz w:val="20"/>
                <w:szCs w:val="20"/>
              </w:rPr>
              <w:t xml:space="preserve">₹114.75 Lakh Cr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+78.1% (+11.4% YoY)</w:t>
            </w:r>
          </w:p>
        </w:tc>
        <w:tc>
          <w:p>
            <w:r>
              <w:rPr>
                <w:sz w:val="20"/>
                <w:szCs w:val="20"/>
              </w:rPr>
              <w:t xml:space="preserve">Stable Expansion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Gross Bank Credit</w:t>
            </w:r>
          </w:p>
        </w:tc>
        <w:tc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₹164.20 Lakh Cr</w:t>
            </w:r>
          </w:p>
        </w:tc>
        <w:tc>
          <w:p>
            <w:r>
              <w:rPr>
                <w:sz w:val="20"/>
                <w:szCs w:val="20"/>
              </w:rPr>
              <w:t xml:space="preserve">₹86.25 Lakh Cr</w:t>
            </w:r>
          </w:p>
        </w:tc>
        <w:tc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+90.4% (+15.3% YoY)</w:t>
            </w:r>
          </w:p>
        </w:tc>
        <w:tc>
          <w:p>
            <w:r>
              <w:rPr>
                <w:sz w:val="20"/>
                <w:szCs w:val="20"/>
              </w:rPr>
              <w:t xml:space="preserve">High Growth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Credit-Deposit (CD) Ratio</w:t>
            </w:r>
          </w:p>
        </w:tc>
        <w:tc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80.34%</w:t>
            </w:r>
          </w:p>
        </w:tc>
        <w:tc>
          <w:p>
            <w:r>
              <w:rPr>
                <w:sz w:val="20"/>
                <w:szCs w:val="20"/>
              </w:rPr>
              <w:t xml:space="preserve">75.16%</w:t>
            </w:r>
          </w:p>
        </w:tc>
        <w:tc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+518 bps Expansion</w:t>
            </w:r>
          </w:p>
        </w:tc>
        <w:tc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Tight Liquidity Warning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Gross NPA Ratio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2.80%</w:t>
            </w:r>
          </w:p>
        </w:tc>
        <w:tc>
          <w:p>
            <w:r>
              <w:rPr>
                <w:sz w:val="20"/>
                <w:szCs w:val="20"/>
              </w:rPr>
              <w:t xml:space="preserve">11.18%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-838 bps Contraction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Decadal Solvency Low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Return on Assets (RoA)</w:t>
            </w:r>
          </w:p>
        </w:tc>
        <w:tc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1.15%</w:t>
            </w:r>
          </w:p>
        </w:tc>
        <w:tc>
          <w:p>
            <w:r>
              <w:rPr>
                <w:sz w:val="20"/>
                <w:szCs w:val="20"/>
              </w:rPr>
              <w:t xml:space="preserve">-0.30%</w:t>
            </w:r>
          </w:p>
        </w:tc>
        <w:tc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+145 bps Turnaround</w:t>
            </w:r>
          </w:p>
        </w:tc>
        <w:tc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Record Profitability</w:t>
            </w:r>
          </w:p>
        </w:tc>
      </w:tr>
    </w:tbl>
    <w:p>
      <w:pPr>
        <w:spacing w:after="140" w:before="260"/>
      </w:pPr>
      <w:r>
        <w:rPr>
          <w:b/>
          <w:bCs/>
          <w:color w:val="1E3A8A"/>
          <w:sz w:val="26"/>
          <w:szCs w:val="26"/>
        </w:rPr>
        <w:t xml:space="preserve">3. Geographic Credit Concentration (Top 5 States)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Indian credit distribution remains highly concentrated in industrial and financial epicenters. The top 5 states collectively account for </w:t>
      </w:r>
      <w:r>
        <w:rPr>
          <w:b/>
          <w:bCs/>
          <w:color w:val="1E40AF"/>
          <w:sz w:val="22"/>
          <w:szCs w:val="22"/>
        </w:rPr>
        <w:t xml:space="preserve">52.4% of all gross bank credit</w:t>
      </w:r>
      <w:r>
        <w:rPr>
          <w:color w:val="334155"/>
          <w:sz w:val="22"/>
          <w:szCs w:val="22"/>
        </w:rPr>
        <w:t xml:space="preserve"> in the country: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Maharashtra: </w:t>
      </w:r>
      <w:r>
        <w:t xml:space="preserve">₹45.16 Lakh Crore (27.5% national share) – India’s primary banking &amp; corporate capital.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Tamil Nadu: </w:t>
      </w:r>
      <w:r>
        <w:t xml:space="preserve">₹14.45 Lakh Crore (8.8% national share) – Heavy automotive, manufacturing &amp; MSME credit.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Uttar Pradesh: </w:t>
      </w:r>
      <w:r>
        <w:t xml:space="preserve">₹10.35 Lakh Crore (6.3% national share) – High deposit mobilization &amp; growing infrastructure.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Karnataka: </w:t>
      </w:r>
      <w:r>
        <w:t xml:space="preserve">₹9.03 Lakh Crore (5.5% national share) – Tech hubs and innovation finance.</w:t>
      </w:r>
    </w:p>
    <w:p>
      <w:pPr>
        <w:spacing w:after="200"/>
      </w:pPr>
      <w:r>
        <w:rPr>
          <w:b/>
          <w:bCs/>
        </w:rPr>
        <w:t xml:space="preserve">• </w:t>
      </w:r>
      <w:r>
        <w:rPr>
          <w:b/>
          <w:bCs/>
        </w:rPr>
        <w:t xml:space="preserve">Gujarat: </w:t>
      </w:r>
      <w:r>
        <w:t xml:space="preserve">₹7.06 Lakh Crore (4.3% national share) – Export, chemicals &amp; industrial manufacturing.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4. Sectoral Credit Deployment</w:t>
      </w:r>
    </w:p>
    <w:p>
      <w:pPr>
        <w:spacing w:after="80"/>
      </w:pPr>
      <w:r>
        <w:rPr>
          <w:color w:val="334155"/>
          <w:sz w:val="22"/>
          <w:szCs w:val="22"/>
        </w:rPr>
        <w:t xml:space="preserve">1. Services (38.2%): Leading sector driven by transport, wholesale trade, non-banking financial companies (NBFCs), and logistics.</w:t>
      </w:r>
    </w:p>
    <w:p>
      <w:pPr>
        <w:spacing w:after="80"/>
      </w:pPr>
      <w:r>
        <w:rPr>
          <w:color w:val="334155"/>
          <w:sz w:val="22"/>
          <w:szCs w:val="22"/>
        </w:rPr>
        <w:t xml:space="preserve">2. Industry (28.5%): Heavy infrastructure, renewable power, steel, chemicals, and electronics manufacturing.</w:t>
      </w:r>
    </w:p>
    <w:p>
      <w:pPr>
        <w:spacing w:after="80"/>
      </w:pPr>
      <w:r>
        <w:rPr>
          <w:color w:val="334155"/>
          <w:sz w:val="22"/>
          <w:szCs w:val="22"/>
        </w:rPr>
        <w:t xml:space="preserve">3. Personal &amp; Retail Loans (20.1%): Housing loans, vehicle financing, and consumer credit cards.</w:t>
      </w:r>
    </w:p>
    <w:p>
      <w:pPr>
        <w:spacing w:after="200"/>
      </w:pPr>
      <w:r>
        <w:rPr>
          <w:color w:val="334155"/>
          <w:sz w:val="22"/>
          <w:szCs w:val="22"/>
        </w:rPr>
        <w:t xml:space="preserve">4. Agriculture &amp; Allied Activities (13.2%): Priority sector lending (PSL) meeting mandatory RBI quotas with high recovery rates.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5. Boardroom Recommendations &amp; Strategic Directives</w:t>
      </w:r>
    </w:p>
    <w:p>
      <w:pPr>
        <w:spacing w:after="100"/>
      </w:pPr>
      <w:r>
        <w:rPr>
          <w:b/>
          <w:bCs/>
        </w:rPr>
        <w:t xml:space="preserve">1. Structured Retail Deposit Mobilization: </w:t>
      </w:r>
      <w:r>
        <w:t xml:space="preserve">Roll out digitized laddered term deposit campaigns to bring the system CD ratio down to the 74%-77% corridor.</w:t>
      </w:r>
    </w:p>
    <w:p>
      <w:pPr>
        <w:spacing w:after="100"/>
      </w:pPr>
      <w:r>
        <w:rPr>
          <w:b/>
          <w:bCs/>
        </w:rPr>
        <w:t xml:space="preserve">2. Unsecured Credit Underwriting Safeguards: </w:t>
      </w:r>
      <w:r>
        <w:t xml:space="preserve">Enforce strict 45.0% Debt-to-Income (DTI) caps on personal loans to shield balance sheets from rising retail defaults.</w:t>
      </w:r>
    </w:p>
    <w:p>
      <w:pPr>
        <w:spacing w:after="100"/>
      </w:pPr>
      <w:r>
        <w:rPr>
          <w:b/>
          <w:bCs/>
        </w:rPr>
        <w:t xml:space="preserve">3. Geographic Credit Diversification: </w:t>
      </w:r>
      <w:r>
        <w:t xml:space="preserve">Reallocate credit delivery quotas toward Tier-2 and Tier-3 manufacturing corridors to reduce metro over-concentration.</w:t>
      </w:r>
    </w:p>
    <w:p>
      <w:pPr>
        <w:spacing w:after="240"/>
      </w:pPr>
      <w:r>
        <w:rPr>
          <w:b/>
          <w:bCs/>
        </w:rPr>
        <w:t xml:space="preserve">4. Capital Buffer Accretion: </w:t>
      </w:r>
      <w:r>
        <w:t xml:space="preserve">Retain an additional 100 bps Common Equity Tier 1 (CET-1) capital from high FY2024 earnings prior to dividend distributions.</w:t>
      </w:r>
    </w:p>
    <w:p>
      <w:pPr>
        <w:spacing w:before="200"/>
      </w:pPr>
      <w:r>
        <w:rPr>
          <w:i/>
          <w:iCs/>
          <w:color w:val="94A3B8"/>
          <w:sz w:val="16"/>
          <w:szCs w:val="16"/>
        </w:rPr>
        <w:t xml:space="preserve">Generated by AI Banking &amp; Financial Intelligence Platform • Audited Reserve Bank of India DBIE Ground Truth • Confidential Boardroom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Banking &amp; Financial Intelligence Executive Report</dc:title>
  <dc:creator>Un-named</dc:creator>
  <dc:description>Reserve Bank of India (RBI DBIE) Grounded Performance, Credit Analytics &amp; Boardroom Directives</dc:description>
  <cp:lastModifiedBy>Un-named</cp:lastModifiedBy>
  <cp:revision>1</cp:revision>
  <dcterms:created xsi:type="dcterms:W3CDTF">2026-09-22T17:56:21.021Z</dcterms:created>
  <dcterms:modified xsi:type="dcterms:W3CDTF">2026-09-22T17:56:21.023Z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