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71C5" w14:textId="26C7FF47" w:rsidR="001608C2" w:rsidRDefault="00FC0A01" w:rsidP="00A96227">
      <w:pPr>
        <w:spacing w:after="0"/>
        <w:rPr>
          <w:rFonts w:ascii="Merriweather" w:hAnsi="Merriweather"/>
          <w:b/>
          <w:bCs/>
        </w:rPr>
      </w:pPr>
      <w:r w:rsidRPr="00D16DCF">
        <w:rPr>
          <w:rFonts w:ascii="Merriweather" w:hAnsi="Merriweather"/>
          <w:b/>
          <w:bCs/>
          <w:noProof/>
        </w:rPr>
        <mc:AlternateContent>
          <mc:Choice Requires="wps">
            <w:drawing>
              <wp:anchor distT="118745" distB="118745" distL="114300" distR="114300" simplePos="0" relativeHeight="251658240" behindDoc="1" locked="0" layoutInCell="0" allowOverlap="1" wp14:anchorId="3E5DEF40" wp14:editId="1848B64E">
                <wp:simplePos x="0" y="0"/>
                <wp:positionH relativeFrom="margin">
                  <wp:posOffset>54065</wp:posOffset>
                </wp:positionH>
                <wp:positionV relativeFrom="paragraph">
                  <wp:posOffset>-502079</wp:posOffset>
                </wp:positionV>
                <wp:extent cx="2187828" cy="572201"/>
                <wp:effectExtent l="0" t="0" r="0" b="0"/>
                <wp:wrapNone/>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828" cy="572201"/>
                        </a:xfrm>
                        <a:prstGeom prst="rect">
                          <a:avLst/>
                        </a:prstGeom>
                        <a:noFill/>
                        <a:extLst>
                          <a:ext uri="{53640926-AAD7-44D8-BBD7-CCE9431645EC}">
                            <a14:shadowObscured xmlns:a14="http://schemas.microsoft.com/office/drawing/2010/main" val="1"/>
                          </a:ext>
                        </a:extLst>
                      </wps:spPr>
                      <wps:txb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E5DEF40" id="_x0000_t202" coordsize="21600,21600" o:spt="202" path="m,l,21600r21600,l21600,xe">
                <v:stroke joinstyle="miter"/>
                <v:path gradientshapeok="t" o:connecttype="rect"/>
              </v:shapetype>
              <v:shape id="Text Box 2" o:spid="_x0000_s1026" type="#_x0000_t202" style="position:absolute;left:0;text-align:left;margin-left:4.25pt;margin-top:-39.55pt;width:172.25pt;height:45.05pt;z-index:-251658240;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" o:allowincell="f" filled="f" stroked="f">
                <v:textbo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v:textbox>
                <w10:wrap anchorx="margin"/>
              </v:shape>
            </w:pict>
          </mc:Fallback>
        </mc:AlternateContent>
      </w:r>
      <w:r w:rsidR="001608C2">
        <w:rPr>
          <w:noProof/>
        </w:rPr>
        <w:drawing>
          <wp:inline distT="0" distB="0" distL="0" distR="0" wp14:anchorId="34D8192D" wp14:editId="0418ECCF">
            <wp:extent cx="6120765" cy="1222375"/>
            <wp:effectExtent l="0" t="0" r="0" b="0"/>
            <wp:docPr id="91347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765" cy="1222375"/>
                    </a:xfrm>
                    <a:prstGeom prst="rect">
                      <a:avLst/>
                    </a:prstGeom>
                    <a:noFill/>
                    <a:ln>
                      <a:noFill/>
                    </a:ln>
                  </pic:spPr>
                </pic:pic>
              </a:graphicData>
            </a:graphic>
          </wp:inline>
        </w:drawing>
      </w:r>
    </w:p>
    <w:p w14:paraId="0624257C" w14:textId="57A6C234" w:rsidR="003E020F" w:rsidRDefault="003E020F" w:rsidP="00A96227">
      <w:pPr>
        <w:spacing w:before="200" w:after="200"/>
        <w:jc w:val="center"/>
        <w:rPr>
          <w:rFonts w:ascii="Merriweather" w:hAnsi="Merriweather"/>
          <w:b/>
          <w:bCs/>
        </w:rPr>
      </w:pPr>
      <w:r w:rsidRPr="001A0A8F">
        <w:rPr>
          <w:rFonts w:ascii="Merriweather" w:hAnsi="Merriweather"/>
          <w:b/>
          <w:bCs/>
          <w:sz w:val="28"/>
          <w:szCs w:val="28"/>
        </w:rPr>
        <w:t xml:space="preserve">Fibrodysplasia Ossificans Progressiva- A case report of exceedingly rare cause of </w:t>
      </w:r>
      <w:proofErr w:type="spellStart"/>
      <w:r w:rsidRPr="001A0A8F">
        <w:rPr>
          <w:rFonts w:ascii="Merriweather" w:hAnsi="Merriweather"/>
          <w:b/>
          <w:bCs/>
          <w:sz w:val="28"/>
          <w:szCs w:val="28"/>
        </w:rPr>
        <w:t>heterotropic</w:t>
      </w:r>
      <w:proofErr w:type="spellEnd"/>
      <w:r w:rsidRPr="001A0A8F">
        <w:rPr>
          <w:rFonts w:ascii="Merriweather" w:hAnsi="Merriweather"/>
          <w:b/>
          <w:bCs/>
          <w:sz w:val="28"/>
          <w:szCs w:val="28"/>
        </w:rPr>
        <w:t xml:space="preserve"> ossification</w:t>
      </w:r>
    </w:p>
    <w:p w14:paraId="3508B090" w14:textId="7F663252" w:rsidR="003E020F" w:rsidRPr="001A0A8F" w:rsidRDefault="003E020F" w:rsidP="001725B9">
      <w:pPr>
        <w:spacing w:before="200" w:after="200"/>
        <w:ind w:left="284"/>
        <w:rPr>
          <w:rFonts w:ascii="Serif" w:hAnsi="Serif"/>
          <w:b/>
          <w:bCs/>
          <w:color w:val="2F5496" w:themeColor="accent5" w:themeShade="BF"/>
          <w:sz w:val="22"/>
          <w:szCs w:val="22"/>
        </w:rPr>
      </w:pPr>
      <w:r w:rsidRPr="001A0A8F">
        <w:rPr>
          <w:rFonts w:ascii="Serif" w:hAnsi="Serif"/>
          <w:b/>
          <w:bCs/>
          <w:color w:val="2F5496" w:themeColor="accent5" w:themeShade="BF"/>
          <w:sz w:val="22"/>
          <w:szCs w:val="22"/>
        </w:rPr>
        <w:t>Yam Hock Ng</w:t>
      </w:r>
      <w:r w:rsidR="00C56352">
        <w:rPr>
          <w:rFonts w:ascii="Serif" w:hAnsi="Serif"/>
          <w:b/>
          <w:bCs/>
          <w:color w:val="2F5496" w:themeColor="accent5" w:themeShade="BF"/>
          <w:sz w:val="22"/>
          <w:szCs w:val="22"/>
        </w:rPr>
        <w:t xml:space="preserve"> </w:t>
      </w:r>
      <w:r w:rsidRPr="001A0A8F">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xml:space="preserve">, </w:t>
      </w:r>
      <w:proofErr w:type="spellStart"/>
      <w:r w:rsidRPr="001A0A8F">
        <w:rPr>
          <w:rFonts w:ascii="Serif" w:hAnsi="Serif"/>
          <w:b/>
          <w:bCs/>
          <w:color w:val="2F5496" w:themeColor="accent5" w:themeShade="BF"/>
          <w:sz w:val="22"/>
          <w:szCs w:val="22"/>
        </w:rPr>
        <w:t>Sa’adon</w:t>
      </w:r>
      <w:proofErr w:type="spellEnd"/>
      <w:r w:rsidRPr="001A0A8F">
        <w:rPr>
          <w:rFonts w:ascii="Serif" w:hAnsi="Serif"/>
          <w:b/>
          <w:bCs/>
          <w:color w:val="2F5496" w:themeColor="accent5" w:themeShade="BF"/>
          <w:sz w:val="22"/>
          <w:szCs w:val="22"/>
        </w:rPr>
        <w:t xml:space="preserve"> Ibrahim</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Chun Ruh Ng</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2</w:t>
      </w:r>
      <w:r w:rsidRPr="001A0A8F">
        <w:rPr>
          <w:rFonts w:ascii="Serif" w:hAnsi="Serif"/>
          <w:b/>
          <w:bCs/>
          <w:color w:val="2F5496" w:themeColor="accent5" w:themeShade="BF"/>
          <w:sz w:val="22"/>
          <w:szCs w:val="22"/>
        </w:rPr>
        <w:t>, Yee Chin Chai</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3</w:t>
      </w:r>
    </w:p>
    <w:p w14:paraId="296A4F05" w14:textId="37B4C178" w:rsidR="003E020F" w:rsidRPr="00FC0A01" w:rsidRDefault="003E020F" w:rsidP="001725B9">
      <w:pPr>
        <w:pStyle w:val="ListParagraph"/>
        <w:numPr>
          <w:ilvl w:val="0"/>
          <w:numId w:val="3"/>
        </w:numPr>
        <w:spacing w:after="0"/>
        <w:ind w:left="568" w:hanging="284"/>
        <w:rPr>
          <w:rFonts w:ascii="Serif" w:hAnsi="Serif"/>
          <w:sz w:val="22"/>
          <w:szCs w:val="22"/>
        </w:rPr>
      </w:pPr>
      <w:bookmarkStart w:id="0" w:name="_Ref227864221"/>
      <w:proofErr w:type="spellStart"/>
      <w:r w:rsidRPr="00FC0A01">
        <w:rPr>
          <w:rFonts w:ascii="Serif" w:hAnsi="Serif"/>
          <w:sz w:val="22"/>
          <w:szCs w:val="22"/>
        </w:rPr>
        <w:t>Orthopaedic</w:t>
      </w:r>
      <w:proofErr w:type="spellEnd"/>
      <w:r w:rsidRPr="00FC0A01">
        <w:rPr>
          <w:rFonts w:ascii="Serif" w:hAnsi="Serif"/>
          <w:sz w:val="22"/>
          <w:szCs w:val="22"/>
        </w:rPr>
        <w:t xml:space="preserve"> department, Hospital Sultan Ismail, Ministry of Health Malaysia.</w:t>
      </w:r>
      <w:bookmarkEnd w:id="0"/>
    </w:p>
    <w:p w14:paraId="6E6629F6" w14:textId="66EEAEA0" w:rsidR="003E020F" w:rsidRPr="00FC0A01"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Internal medicine department, Hospital Sultan Ismail. Ministry of Health Malaysia.</w:t>
      </w:r>
    </w:p>
    <w:p w14:paraId="7CD68D11" w14:textId="5DD64652" w:rsidR="00375226"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 xml:space="preserve">Psychiatry unit, Hospital </w:t>
      </w:r>
      <w:proofErr w:type="spellStart"/>
      <w:r w:rsidRPr="00FC0A01">
        <w:rPr>
          <w:rFonts w:ascii="Serif" w:hAnsi="Serif"/>
          <w:sz w:val="22"/>
          <w:szCs w:val="22"/>
        </w:rPr>
        <w:t>Permai</w:t>
      </w:r>
      <w:proofErr w:type="spellEnd"/>
      <w:r w:rsidRPr="00FC0A01">
        <w:rPr>
          <w:rFonts w:ascii="Serif" w:hAnsi="Serif"/>
          <w:sz w:val="22"/>
          <w:szCs w:val="22"/>
        </w:rPr>
        <w:t xml:space="preserve"> Johor Bahru, Ministry of Health Malaysia.</w:t>
      </w:r>
    </w:p>
    <w:p w14:paraId="2A045D45" w14:textId="77777777" w:rsidR="007918CA" w:rsidRPr="00375226" w:rsidRDefault="007918CA" w:rsidP="007918CA">
      <w:pPr>
        <w:pStyle w:val="ListParagraph"/>
        <w:spacing w:after="0"/>
        <w:ind w:left="284"/>
        <w:rPr>
          <w:rFonts w:ascii="Serif" w:hAnsi="Serif"/>
          <w:sz w:val="22"/>
          <w:szCs w:val="22"/>
        </w:rPr>
      </w:pPr>
    </w:p>
    <w:p w14:paraId="4893E1AB" w14:textId="6198FE77" w:rsidR="00A96227" w:rsidRDefault="00375226" w:rsidP="00A96227">
      <w:pPr>
        <w:spacing w:after="0"/>
        <w:rPr>
          <w:rFonts w:ascii="Serif" w:hAnsi="Serif"/>
          <w:sz w:val="22"/>
          <w:szCs w:val="22"/>
        </w:rPr>
      </w:pPr>
      <w:r w:rsidRPr="00D16DCF">
        <w:rPr>
          <w:rFonts w:ascii="Merriweather" w:hAnsi="Merriweather"/>
          <w:b/>
          <w:bCs/>
          <w:noProof/>
        </w:rPr>
        <mc:AlternateContent>
          <mc:Choice Requires="wps">
            <w:drawing>
              <wp:anchor distT="118745" distB="118745" distL="114300" distR="114300" simplePos="0" relativeHeight="251663360" behindDoc="1" locked="0" layoutInCell="0" allowOverlap="1" wp14:anchorId="44A2714E" wp14:editId="18EA10D5">
                <wp:simplePos x="0" y="0"/>
                <wp:positionH relativeFrom="margin">
                  <wp:align>right</wp:align>
                </wp:positionH>
                <wp:positionV relativeFrom="paragraph">
                  <wp:posOffset>41448</wp:posOffset>
                </wp:positionV>
                <wp:extent cx="6079201" cy="572135"/>
                <wp:effectExtent l="0" t="0" r="0" b="0"/>
                <wp:wrapNone/>
                <wp:docPr id="696370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201" cy="572135"/>
                        </a:xfrm>
                        <a:prstGeom prst="rect">
                          <a:avLst/>
                        </a:prstGeom>
                        <a:noFill/>
                        <a:extLst>
                          <a:ext uri="{53640926-AAD7-44D8-BBD7-CCE9431645EC}">
                            <a14:shadowObscured xmlns:a14="http://schemas.microsoft.com/office/drawing/2010/main" val="1"/>
                          </a:ext>
                        </a:extLst>
                      </wps:spPr>
                      <wps:txb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4A2714E" id="_x0000_s1027" type="#_x0000_t202" style="position:absolute;left:0;text-align:left;margin-left:427.5pt;margin-top:3.25pt;width:478.7pt;height:45.05pt;z-index:-251653120;visibility:visible;mso-wrap-style:square;mso-width-percent:0;mso-height-percent:0;mso-wrap-distance-left:9pt;mso-wrap-distance-top:9.35pt;mso-wrap-distance-right:9pt;mso-wrap-distance-bottom:9.35pt;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" o:allowincell="f" filled="f" stroked="f">
                <v:textbo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v:textbox>
                <w10:wrap anchorx="margin"/>
              </v:shape>
            </w:pict>
          </mc:Fallback>
        </mc:AlternateContent>
      </w:r>
    </w:p>
    <w:p w14:paraId="36096E66" w14:textId="7BC02301" w:rsidR="00FC0A01" w:rsidRDefault="00FC0A01" w:rsidP="00A96227">
      <w:pPr>
        <w:spacing w:after="0"/>
        <w:rPr>
          <w:rFonts w:ascii="Serif" w:hAnsi="Serif"/>
          <w:sz w:val="22"/>
          <w:szCs w:val="22"/>
        </w:rPr>
      </w:pPr>
    </w:p>
    <w:p w14:paraId="131FE842" w14:textId="5AAA8481" w:rsidR="00FC0A01" w:rsidRPr="001A0A8F" w:rsidRDefault="00FC0A01" w:rsidP="00A96227">
      <w:pPr>
        <w:spacing w:after="0"/>
        <w:rPr>
          <w:rFonts w:ascii="Serif" w:hAnsi="Serif"/>
          <w:sz w:val="22"/>
          <w:szCs w:val="22"/>
        </w:rPr>
      </w:pPr>
    </w:p>
    <w:p w14:paraId="317A6001" w14:textId="58ED97FB" w:rsidR="003E020F" w:rsidRPr="00E64B42" w:rsidRDefault="003E020F" w:rsidP="003E54D0">
      <w:pPr>
        <w:pStyle w:val="Tit"/>
        <w:rPr>
          <w:rStyle w:val="Strong"/>
          <w:sz w:val="20"/>
          <w:szCs w:val="20"/>
        </w:rPr>
      </w:pPr>
      <w:r w:rsidRPr="00E64B42">
        <w:rPr>
          <w:sz w:val="20"/>
          <w:szCs w:val="20"/>
        </w:rPr>
        <w:t>Abstract</w:t>
      </w:r>
    </w:p>
    <w:p w14:paraId="3EC1E0DC" w14:textId="2A1E25CE" w:rsidR="003E020F" w:rsidRPr="00CD0BAF" w:rsidRDefault="003E020F" w:rsidP="00771E21">
      <w:pPr>
        <w:spacing w:before="200" w:after="200" w:line="240" w:lineRule="auto"/>
        <w:rPr>
          <w:rFonts w:ascii="Serif" w:hAnsi="Serif"/>
          <w:sz w:val="20"/>
          <w:szCs w:val="20"/>
        </w:rPr>
      </w:pPr>
      <w:r w:rsidRPr="00CD0BAF">
        <w:rPr>
          <w:rFonts w:ascii="Serif" w:hAnsi="Serif"/>
          <w:sz w:val="20"/>
          <w:szCs w:val="20"/>
        </w:rPr>
        <w:t>Fibrodysplasia ossificans progressiva is an exceedingly rare genetic disorder that causes the formation of the second skeleton after birth by the heterotopic bone. It is commonly misdiagnosed and treated inappropriately. Although there is no cure for the disease, early and correct diagnosis may slow the disease progress, avoid unnecessary intervention and in turn improve the quality of life. We report a 13 years old girl with fibrodysplasia ossificans progressiva who presented with progressive stiffness of the bilateral hips after a trivial fall. Further history has found progressive joint stiffness involving multiple joints. She had not been diagnosed even though multiple encounters with the health facility for similar complaints. This has highlighted the importance of awareness of the disease among healthcare personnel.</w:t>
      </w:r>
    </w:p>
    <w:p w14:paraId="2EDC2373" w14:textId="38E00FB7" w:rsidR="003E020F" w:rsidRPr="00CD0BAF" w:rsidRDefault="003E020F" w:rsidP="007079EA">
      <w:pPr>
        <w:pStyle w:val="IntenseQuote"/>
        <w:pBdr>
          <w:top w:val="none" w:sz="0" w:space="0" w:color="auto"/>
          <w:bottom w:val="single" w:sz="4" w:space="4" w:color="5B9BD5" w:themeColor="accent1"/>
        </w:pBdr>
        <w:spacing w:before="200" w:after="200" w:line="240" w:lineRule="auto"/>
        <w:ind w:left="0" w:right="0"/>
        <w:jc w:val="both"/>
        <w:rPr>
          <w:rFonts w:ascii="Serif" w:eastAsia="Calibri" w:hAnsi="Serif" w:cs="Times New Roman"/>
          <w:i w:val="0"/>
          <w:color w:val="auto"/>
          <w:kern w:val="0"/>
          <w:sz w:val="20"/>
          <w:szCs w:val="20"/>
          <w:lang w:val="en-IN"/>
          <w14:ligatures w14:val="none"/>
        </w:rPr>
      </w:pPr>
      <w:r w:rsidRPr="00CD0BAF">
        <w:rPr>
          <w:rFonts w:ascii="Serif" w:eastAsia="Calibri" w:hAnsi="Serif" w:cs="Times New Roman"/>
          <w:b/>
          <w:bCs/>
          <w:i w:val="0"/>
          <w:color w:val="auto"/>
          <w:kern w:val="0"/>
          <w:sz w:val="20"/>
          <w:szCs w:val="20"/>
          <w:lang w:val="en-IN"/>
          <w14:ligatures w14:val="none"/>
        </w:rPr>
        <w:t xml:space="preserve">Keywords: </w:t>
      </w:r>
      <w:r w:rsidRPr="00CD0BAF">
        <w:rPr>
          <w:rFonts w:ascii="Serif" w:eastAsia="Calibri" w:hAnsi="Serif" w:cs="Times New Roman"/>
          <w:i w:val="0"/>
          <w:color w:val="auto"/>
          <w:kern w:val="0"/>
          <w:sz w:val="20"/>
          <w:szCs w:val="20"/>
          <w:lang w:val="en-IN"/>
          <w14:ligatures w14:val="none"/>
        </w:rPr>
        <w:t>Rare genetic disorder, fibrodysplasia ossificans progressiva, heterotopic ossification.</w:t>
      </w:r>
    </w:p>
    <w:p w14:paraId="4E48D036" w14:textId="42006A3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INTRODUCTION</w:t>
      </w:r>
    </w:p>
    <w:p w14:paraId="5A6894DD" w14:textId="5C0E9C09" w:rsidR="003E020F" w:rsidRDefault="003E020F" w:rsidP="00A96227">
      <w:pPr>
        <w:spacing w:before="200" w:after="200"/>
        <w:rPr>
          <w:rFonts w:ascii="Serif" w:hAnsi="Serif"/>
          <w:sz w:val="22"/>
          <w:szCs w:val="22"/>
        </w:rPr>
      </w:pPr>
      <w:r w:rsidRPr="001A0A8F">
        <w:rPr>
          <w:rFonts w:ascii="Serif" w:hAnsi="Serif"/>
          <w:sz w:val="22"/>
          <w:szCs w:val="22"/>
        </w:rPr>
        <w:t xml:space="preserve">Heterotopic ossification (HO) is an abnormal form of bone formation in </w:t>
      </w:r>
      <w:proofErr w:type="spellStart"/>
      <w:r w:rsidRPr="001A0A8F">
        <w:rPr>
          <w:rFonts w:ascii="Serif" w:hAnsi="Serif"/>
          <w:sz w:val="22"/>
          <w:szCs w:val="22"/>
        </w:rPr>
        <w:t>extraskeletal</w:t>
      </w:r>
      <w:proofErr w:type="spellEnd"/>
      <w:r w:rsidRPr="001A0A8F">
        <w:rPr>
          <w:rFonts w:ascii="Serif" w:hAnsi="Serif"/>
          <w:sz w:val="22"/>
          <w:szCs w:val="22"/>
        </w:rPr>
        <w:t xml:space="preserve"> tissues. It can occur either spontaneously, following trauma or neurologic injury. Fibrodysplasia ossificans progressiva (FOP) is an exceedingly rare genetic disorder mostly caused by sporadic mutation but inheritance can occur by autosomal dominant transmission. The patient can be presented since birth with abnormal skeletal formation over the neck, femoral neck and great toes. Minor trauma causing progressive HO formation since the first decade of life which can be disabling. There are only 834 living individuals with FOP globally according to a report by IFOPA in 2016 </w:t>
      </w:r>
      <w:r w:rsidRPr="001A0A8F">
        <w:rPr>
          <w:rFonts w:ascii="Serif" w:hAnsi="Serif"/>
          <w:sz w:val="22"/>
          <w:szCs w:val="22"/>
          <w:vertAlign w:val="superscript"/>
        </w:rPr>
        <w:t>[</w:t>
      </w:r>
      <w:r w:rsidR="00AE370F">
        <w:rPr>
          <w:rFonts w:ascii="Serif" w:hAnsi="Serif"/>
          <w:sz w:val="22"/>
          <w:szCs w:val="22"/>
          <w:vertAlign w:val="superscript"/>
        </w:rPr>
        <w:fldChar w:fldCharType="begin"/>
      </w:r>
      <w:r w:rsidR="00AE370F">
        <w:rPr>
          <w:rFonts w:ascii="Serif" w:hAnsi="Serif"/>
          <w:sz w:val="22"/>
          <w:szCs w:val="22"/>
          <w:vertAlign w:val="superscript"/>
        </w:rPr>
        <w:instrText xml:space="preserve"> REF _Ref227864302 \n \h </w:instrText>
      </w:r>
      <w:r w:rsidR="00AE370F">
        <w:rPr>
          <w:rFonts w:ascii="Serif" w:hAnsi="Serif"/>
          <w:sz w:val="22"/>
          <w:szCs w:val="22"/>
          <w:vertAlign w:val="superscript"/>
        </w:rPr>
      </w:r>
      <w:r w:rsidR="00AE370F">
        <w:rPr>
          <w:rFonts w:ascii="Serif" w:hAnsi="Serif"/>
          <w:sz w:val="22"/>
          <w:szCs w:val="22"/>
          <w:vertAlign w:val="superscript"/>
        </w:rPr>
        <w:fldChar w:fldCharType="separate"/>
      </w:r>
      <w:r w:rsidR="00AE370F">
        <w:rPr>
          <w:rFonts w:ascii="Serif" w:hAnsi="Serif"/>
          <w:sz w:val="22"/>
          <w:szCs w:val="22"/>
          <w:vertAlign w:val="superscript"/>
        </w:rPr>
        <w:t>1</w:t>
      </w:r>
      <w:r w:rsidR="00AE370F">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r w:rsidR="00375226" w:rsidRPr="00375226">
        <w:rPr>
          <w:rFonts w:ascii="Serif" w:hAnsi="Serif"/>
          <w:noProof/>
          <w:sz w:val="22"/>
          <w:szCs w:val="22"/>
        </w:rPr>
        <w:t xml:space="preserve"> </w:t>
      </w:r>
    </w:p>
    <w:p w14:paraId="7923B5AD" w14:textId="0996232C"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CASE REPORT</w:t>
      </w:r>
    </w:p>
    <w:p w14:paraId="1195F6CA" w14:textId="1B733040"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A 13 years old girl presented to the </w:t>
      </w:r>
      <w:proofErr w:type="spellStart"/>
      <w:r w:rsidRPr="001A0A8F">
        <w:rPr>
          <w:rFonts w:ascii="Serif" w:hAnsi="Serif"/>
          <w:sz w:val="22"/>
          <w:szCs w:val="22"/>
        </w:rPr>
        <w:t>orthopaedic</w:t>
      </w:r>
      <w:proofErr w:type="spellEnd"/>
      <w:r w:rsidRPr="001A0A8F">
        <w:rPr>
          <w:rFonts w:ascii="Serif" w:hAnsi="Serif"/>
          <w:sz w:val="22"/>
          <w:szCs w:val="22"/>
        </w:rPr>
        <w:t xml:space="preserve"> clinic with a two years history of stiffness over the bilateral hips, bilateral shoulder and jaws. The hips pain was preceded by the incidence of trivial fall in sitting position. While the hips pain gradually reduced, the hips were getting stiffer and then fixed in position. Otherwise, the shoulders and jaws stiffness were unprovoked. Further history from parents revealed that she was having bony prominent over the base of bilateral great toe noticed since infant period (Fig. 1). The patient was also not able to turn her head toward the sound and extend her head </w:t>
      </w:r>
      <w:r w:rsidRPr="001A0A8F">
        <w:rPr>
          <w:rFonts w:ascii="Serif" w:hAnsi="Serif"/>
          <w:sz w:val="22"/>
          <w:szCs w:val="22"/>
        </w:rPr>
        <w:lastRenderedPageBreak/>
        <w:t xml:space="preserve">just like other children when she was put in a prone position during the infant period. Parents and other siblings are all normal. Parents had sought treatment from a general practitioner, </w:t>
      </w:r>
      <w:proofErr w:type="spellStart"/>
      <w:r w:rsidRPr="001A0A8F">
        <w:rPr>
          <w:rFonts w:ascii="Serif" w:hAnsi="Serif"/>
          <w:sz w:val="22"/>
          <w:szCs w:val="22"/>
        </w:rPr>
        <w:t>orthopaedic</w:t>
      </w:r>
      <w:proofErr w:type="spellEnd"/>
      <w:r w:rsidRPr="001A0A8F">
        <w:rPr>
          <w:rFonts w:ascii="Serif" w:hAnsi="Serif"/>
          <w:sz w:val="22"/>
          <w:szCs w:val="22"/>
        </w:rPr>
        <w:t xml:space="preserve"> surgeon, dental surgeon as well as physician, however, she was never being diagnosed and treated.</w:t>
      </w:r>
      <w:r w:rsidR="00FC6472" w:rsidRPr="00FC6472">
        <w:t xml:space="preserve"> </w:t>
      </w:r>
    </w:p>
    <w:p w14:paraId="41296B17" w14:textId="6B9003C9" w:rsidR="003E020F" w:rsidRPr="001A0A8F" w:rsidRDefault="00FC6472" w:rsidP="00A96227">
      <w:pPr>
        <w:spacing w:before="200" w:after="200"/>
        <w:rPr>
          <w:rFonts w:ascii="Serif" w:hAnsi="Serif"/>
          <w:sz w:val="22"/>
          <w:szCs w:val="22"/>
        </w:rPr>
      </w:pPr>
      <w:r>
        <w:rPr>
          <w:noProof/>
        </w:rPr>
        <mc:AlternateContent>
          <mc:Choice Requires="wps">
            <w:drawing>
              <wp:anchor distT="0" distB="0" distL="114300" distR="114300" simplePos="0" relativeHeight="251666432" behindDoc="0" locked="0" layoutInCell="1" allowOverlap="1" wp14:anchorId="1BB01B10" wp14:editId="2A9D7FD7">
                <wp:simplePos x="0" y="0"/>
                <wp:positionH relativeFrom="column">
                  <wp:posOffset>4080510</wp:posOffset>
                </wp:positionH>
                <wp:positionV relativeFrom="paragraph">
                  <wp:posOffset>2010409</wp:posOffset>
                </wp:positionV>
                <wp:extent cx="498475" cy="276225"/>
                <wp:effectExtent l="0" t="0" r="0" b="0"/>
                <wp:wrapNone/>
                <wp:docPr id="1293138246" name="Text Box 6"/>
                <wp:cNvGraphicFramePr/>
                <a:graphic xmlns:a="http://schemas.openxmlformats.org/drawingml/2006/main">
                  <a:graphicData uri="http://schemas.microsoft.com/office/word/2010/wordprocessingShape">
                    <wps:wsp>
                      <wps:cNvSpPr txBox="1"/>
                      <wps:spPr>
                        <a:xfrm>
                          <a:off x="0" y="0"/>
                          <a:ext cx="498475" cy="276225"/>
                        </a:xfrm>
                        <a:prstGeom prst="rect">
                          <a:avLst/>
                        </a:prstGeom>
                        <a:noFill/>
                        <a:ln w="6350">
                          <a:noFill/>
                        </a:ln>
                      </wps:spPr>
                      <wps:txb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01B10" id="Text Box 6" o:spid="_x0000_s1028" type="#_x0000_t202" style="position:absolute;left:0;text-align:left;margin-left:321.3pt;margin-top:158.3pt;width:39.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" filled="f" stroked="f" strokeweight=".5pt">
                <v:textbo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v:textbox>
              </v:shape>
            </w:pict>
          </mc:Fallback>
        </mc:AlternateContent>
      </w:r>
      <w:r>
        <w:rPr>
          <w:noProof/>
        </w:rPr>
        <w:drawing>
          <wp:anchor distT="180340" distB="180340" distL="180340" distR="180340" simplePos="0" relativeHeight="251664384" behindDoc="1" locked="0" layoutInCell="1" allowOverlap="1" wp14:anchorId="54EDF03E" wp14:editId="652D3505">
            <wp:simplePos x="0" y="0"/>
            <wp:positionH relativeFrom="margin">
              <wp:align>right</wp:align>
            </wp:positionH>
            <wp:positionV relativeFrom="paragraph">
              <wp:posOffset>73660</wp:posOffset>
            </wp:positionV>
            <wp:extent cx="3582000" cy="1911600"/>
            <wp:effectExtent l="0" t="0" r="0" b="0"/>
            <wp:wrapTight wrapText="bothSides">
              <wp:wrapPolygon edited="0">
                <wp:start x="0" y="0"/>
                <wp:lineTo x="0" y="21313"/>
                <wp:lineTo x="21485" y="21313"/>
                <wp:lineTo x="21485" y="0"/>
                <wp:lineTo x="0" y="0"/>
              </wp:wrapPolygon>
            </wp:wrapTight>
            <wp:docPr id="183831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2000" cy="191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On examination, the patient had multiple bony prominent over the neck, hips region and around the knee. Non tender and no signs of inflammation over the bony swellings. Neck movement markedly reduced in all directions. Mouth opening was restricted to less than one finger breath (Fig. 2). The shoulders range of movement is largely maintained except internal and external rotation. Pelvis tilts up at the right side with limb length discrepancy of 5cm. Right hip in internal rotation position with fixed adduction at 10 </w:t>
      </w:r>
      <w:proofErr w:type="gramStart"/>
      <w:r w:rsidR="003E020F" w:rsidRPr="001A0A8F">
        <w:rPr>
          <w:rFonts w:ascii="Serif" w:hAnsi="Serif"/>
          <w:sz w:val="22"/>
          <w:szCs w:val="22"/>
        </w:rPr>
        <w:t>degree</w:t>
      </w:r>
      <w:proofErr w:type="gramEnd"/>
      <w:r w:rsidR="003E020F" w:rsidRPr="001A0A8F">
        <w:rPr>
          <w:rFonts w:ascii="Serif" w:hAnsi="Serif"/>
          <w:sz w:val="22"/>
          <w:szCs w:val="22"/>
        </w:rPr>
        <w:t xml:space="preserve">. Left hip in external rotation position with fixed abduction at 15 </w:t>
      </w:r>
      <w:proofErr w:type="gramStart"/>
      <w:r w:rsidR="003E020F" w:rsidRPr="001A0A8F">
        <w:rPr>
          <w:rFonts w:ascii="Serif" w:hAnsi="Serif"/>
          <w:sz w:val="22"/>
          <w:szCs w:val="22"/>
        </w:rPr>
        <w:t>degree</w:t>
      </w:r>
      <w:proofErr w:type="gramEnd"/>
      <w:r w:rsidR="003E020F" w:rsidRPr="001A0A8F">
        <w:rPr>
          <w:rFonts w:ascii="Serif" w:hAnsi="Serif"/>
          <w:sz w:val="22"/>
          <w:szCs w:val="22"/>
        </w:rPr>
        <w:t>. No lymphadenopathy and no organomegaly can be appreciated.</w:t>
      </w:r>
    </w:p>
    <w:p w14:paraId="6CFE24AC" w14:textId="7D8D0698"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Inflammatory markers and other laboratory results were normal for her age. X-ray study showed abnormal cervical spine, abnormal neck of femur formation with HO formation and malformation of great toes (Fig. 3a, 3b, 3c). Genetic study was not done because of the classical presentation of history and imaging study. Co-management with rheumatologist aims to provide symptomatic treatment and disease progression prevention. Counselling was provided and the patient was educated on the nature 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6CD1DA16" w14:textId="48783054" w:rsidR="003E020F" w:rsidRDefault="00B96BF1" w:rsidP="00A96227">
      <w:pPr>
        <w:spacing w:before="200" w:after="200"/>
        <w:rPr>
          <w:rFonts w:ascii="Serif" w:hAnsi="Serif"/>
          <w:sz w:val="22"/>
          <w:szCs w:val="22"/>
        </w:rPr>
      </w:pPr>
      <w:r>
        <w:rPr>
          <w:noProof/>
        </w:rPr>
        <mc:AlternateContent>
          <mc:Choice Requires="wps">
            <w:drawing>
              <wp:anchor distT="0" distB="0" distL="114300" distR="114300" simplePos="0" relativeHeight="251668480" behindDoc="0" locked="0" layoutInCell="1" allowOverlap="1" wp14:anchorId="11F6F878" wp14:editId="5E1184EC">
                <wp:simplePos x="0" y="0"/>
                <wp:positionH relativeFrom="column">
                  <wp:posOffset>1137285</wp:posOffset>
                </wp:positionH>
                <wp:positionV relativeFrom="paragraph">
                  <wp:posOffset>1845310</wp:posOffset>
                </wp:positionV>
                <wp:extent cx="546100" cy="257175"/>
                <wp:effectExtent l="0" t="0" r="0" b="0"/>
                <wp:wrapNone/>
                <wp:docPr id="376267216" name="Text Box 6"/>
                <wp:cNvGraphicFramePr/>
                <a:graphic xmlns:a="http://schemas.openxmlformats.org/drawingml/2006/main">
                  <a:graphicData uri="http://schemas.microsoft.com/office/word/2010/wordprocessingShape">
                    <wps:wsp>
                      <wps:cNvSpPr txBox="1"/>
                      <wps:spPr>
                        <a:xfrm>
                          <a:off x="0" y="0"/>
                          <a:ext cx="546100" cy="257175"/>
                        </a:xfrm>
                        <a:prstGeom prst="rect">
                          <a:avLst/>
                        </a:prstGeom>
                        <a:noFill/>
                        <a:ln w="6350">
                          <a:noFill/>
                        </a:ln>
                      </wps:spPr>
                      <wps:txb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6F878" id="_x0000_s1029" type="#_x0000_t202" style="position:absolute;left:0;text-align:left;margin-left:89.55pt;margin-top:145.3pt;width:43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" filled="f" stroked="f" strokeweight=".5pt">
                <v:textbo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v:textbox>
              </v:shape>
            </w:pict>
          </mc:Fallback>
        </mc:AlternateContent>
      </w:r>
      <w:r>
        <w:rPr>
          <w:noProof/>
        </w:rPr>
        <w:drawing>
          <wp:anchor distT="180340" distB="180340" distL="180340" distR="180340" simplePos="0" relativeHeight="251665408" behindDoc="1" locked="0" layoutInCell="1" allowOverlap="1" wp14:anchorId="2D105C43" wp14:editId="2500DAA7">
            <wp:simplePos x="0" y="0"/>
            <wp:positionH relativeFrom="margin">
              <wp:align>left</wp:align>
            </wp:positionH>
            <wp:positionV relativeFrom="paragraph">
              <wp:posOffset>95885</wp:posOffset>
            </wp:positionV>
            <wp:extent cx="2700020" cy="1800225"/>
            <wp:effectExtent l="0" t="0" r="5080" b="0"/>
            <wp:wrapTight wrapText="bothSides">
              <wp:wrapPolygon edited="0">
                <wp:start x="0" y="0"/>
                <wp:lineTo x="0" y="21257"/>
                <wp:lineTo x="21488" y="21257"/>
                <wp:lineTo x="21488" y="0"/>
                <wp:lineTo x="0" y="0"/>
              </wp:wrapPolygon>
            </wp:wrapTight>
            <wp:docPr id="1212733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7943" cy="180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The progression pattern of HO in FOP is typically from axial to appendicular, cranial to caudal and proximal to distal </w:t>
      </w:r>
      <w:r w:rsidR="003E020F" w:rsidRPr="001A0A8F">
        <w:rPr>
          <w:rFonts w:ascii="Serif" w:hAnsi="Serif"/>
          <w:sz w:val="22"/>
          <w:szCs w:val="22"/>
          <w:vertAlign w:val="superscript"/>
        </w:rPr>
        <w:t>[2]</w:t>
      </w:r>
      <w:r w:rsidR="003E020F"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There is no specific treatment for FOP, thus the treatment aims for symptomatic relief and </w:t>
      </w:r>
      <w:r w:rsidR="003E020F" w:rsidRPr="001A0A8F">
        <w:rPr>
          <w:rFonts w:ascii="Serif" w:hAnsi="Serif"/>
          <w:sz w:val="22"/>
          <w:szCs w:val="22"/>
        </w:rPr>
        <w:lastRenderedPageBreak/>
        <w:t xml:space="preserve">prevention of complications. Corticosteroids can be used for initial phases of acute flare up to inhibit the acute and bulk inflammatory infiltration of skeletal muscle and mast cells stabilizers can be used to reduce the symptoms of acute flare up </w:t>
      </w:r>
      <w:r w:rsidR="003E020F" w:rsidRPr="001A0A8F">
        <w:rPr>
          <w:rFonts w:ascii="Serif" w:hAnsi="Serif"/>
          <w:sz w:val="22"/>
          <w:szCs w:val="22"/>
          <w:vertAlign w:val="superscript"/>
        </w:rPr>
        <w:t>[2]</w:t>
      </w:r>
      <w:r w:rsidR="003E020F"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4E55A86C" w14:textId="54444B96" w:rsidR="00FC6472" w:rsidRPr="001A0A8F" w:rsidRDefault="00FC6472" w:rsidP="00B96BF1">
      <w:pPr>
        <w:spacing w:before="200" w:after="200"/>
        <w:jc w:val="center"/>
        <w:rPr>
          <w:rFonts w:ascii="Serif" w:hAnsi="Serif"/>
          <w:sz w:val="22"/>
          <w:szCs w:val="22"/>
        </w:rPr>
      </w:pPr>
      <w:r>
        <w:rPr>
          <w:rFonts w:ascii="Serif" w:hAnsi="Serif"/>
          <w:sz w:val="22"/>
          <w:szCs w:val="22"/>
        </w:rPr>
        <w:t>Table</w:t>
      </w:r>
      <w:r w:rsidR="00B96BF1">
        <w:rPr>
          <w:rFonts w:ascii="Serif" w:hAnsi="Serif"/>
          <w:sz w:val="22"/>
          <w:szCs w:val="22"/>
        </w:rPr>
        <w:t xml:space="preserve"> 1</w:t>
      </w:r>
    </w:p>
    <w:tbl>
      <w:tblPr>
        <w:tblW w:w="5000" w:type="pct"/>
        <w:jc w:val="center"/>
        <w:tblLook w:val="04A0" w:firstRow="1" w:lastRow="0" w:firstColumn="1" w:lastColumn="0" w:noHBand="0" w:noVBand="1"/>
      </w:tblPr>
      <w:tblGrid>
        <w:gridCol w:w="2286"/>
        <w:gridCol w:w="1398"/>
        <w:gridCol w:w="718"/>
        <w:gridCol w:w="1129"/>
        <w:gridCol w:w="1229"/>
        <w:gridCol w:w="1184"/>
        <w:gridCol w:w="1685"/>
      </w:tblGrid>
      <w:tr w:rsidR="00FC6472" w:rsidRPr="00B96BF1" w14:paraId="1EFE93F7" w14:textId="77777777" w:rsidTr="00B96BF1">
        <w:trPr>
          <w:trHeight w:val="20"/>
          <w:jc w:val="center"/>
        </w:trPr>
        <w:tc>
          <w:tcPr>
            <w:tcW w:w="1187" w:type="pct"/>
            <w:tcBorders>
              <w:top w:val="single" w:sz="4" w:space="0" w:color="auto"/>
              <w:left w:val="single" w:sz="4" w:space="0" w:color="auto"/>
              <w:bottom w:val="single" w:sz="4" w:space="0" w:color="auto"/>
              <w:right w:val="single" w:sz="4" w:space="0" w:color="auto"/>
            </w:tcBorders>
            <w:shd w:val="clear" w:color="000000" w:fill="D09999"/>
            <w:noWrap/>
            <w:hideMark/>
          </w:tcPr>
          <w:p w14:paraId="59CC44C5"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Customer</w:t>
            </w:r>
          </w:p>
        </w:tc>
        <w:tc>
          <w:tcPr>
            <w:tcW w:w="726" w:type="pct"/>
            <w:tcBorders>
              <w:top w:val="single" w:sz="4" w:space="0" w:color="auto"/>
              <w:left w:val="nil"/>
              <w:bottom w:val="single" w:sz="4" w:space="0" w:color="auto"/>
              <w:right w:val="single" w:sz="4" w:space="0" w:color="auto"/>
            </w:tcBorders>
            <w:shd w:val="clear" w:color="000000" w:fill="D09999"/>
            <w:noWrap/>
            <w:hideMark/>
          </w:tcPr>
          <w:p w14:paraId="0C7710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PO No.</w:t>
            </w:r>
          </w:p>
        </w:tc>
        <w:tc>
          <w:tcPr>
            <w:tcW w:w="373" w:type="pct"/>
            <w:tcBorders>
              <w:top w:val="single" w:sz="4" w:space="0" w:color="auto"/>
              <w:left w:val="nil"/>
              <w:bottom w:val="single" w:sz="4" w:space="0" w:color="auto"/>
              <w:right w:val="single" w:sz="4" w:space="0" w:color="auto"/>
            </w:tcBorders>
            <w:shd w:val="clear" w:color="000000" w:fill="D09999"/>
            <w:noWrap/>
            <w:hideMark/>
          </w:tcPr>
          <w:p w14:paraId="4EB793E2"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Inv No</w:t>
            </w:r>
          </w:p>
        </w:tc>
        <w:tc>
          <w:tcPr>
            <w:tcW w:w="586" w:type="pct"/>
            <w:tcBorders>
              <w:top w:val="single" w:sz="4" w:space="0" w:color="auto"/>
              <w:left w:val="nil"/>
              <w:bottom w:val="single" w:sz="4" w:space="0" w:color="auto"/>
              <w:right w:val="single" w:sz="4" w:space="0" w:color="auto"/>
            </w:tcBorders>
            <w:shd w:val="clear" w:color="000000" w:fill="D09999"/>
            <w:noWrap/>
            <w:hideMark/>
          </w:tcPr>
          <w:p w14:paraId="73B1321F"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Dated</w:t>
            </w:r>
          </w:p>
        </w:tc>
        <w:tc>
          <w:tcPr>
            <w:tcW w:w="638" w:type="pct"/>
            <w:tcBorders>
              <w:top w:val="single" w:sz="4" w:space="0" w:color="auto"/>
              <w:left w:val="nil"/>
              <w:bottom w:val="single" w:sz="4" w:space="0" w:color="auto"/>
              <w:right w:val="single" w:sz="4" w:space="0" w:color="auto"/>
            </w:tcBorders>
            <w:shd w:val="clear" w:color="000000" w:fill="D09999"/>
            <w:noWrap/>
            <w:hideMark/>
          </w:tcPr>
          <w:p w14:paraId="6FDCB41D"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PBillNo</w:t>
            </w:r>
            <w:proofErr w:type="spellEnd"/>
          </w:p>
        </w:tc>
        <w:tc>
          <w:tcPr>
            <w:tcW w:w="615" w:type="pct"/>
            <w:tcBorders>
              <w:top w:val="single" w:sz="4" w:space="0" w:color="auto"/>
              <w:left w:val="nil"/>
              <w:bottom w:val="single" w:sz="4" w:space="0" w:color="auto"/>
              <w:right w:val="single" w:sz="4" w:space="0" w:color="auto"/>
            </w:tcBorders>
            <w:shd w:val="clear" w:color="000000" w:fill="D09999"/>
            <w:noWrap/>
            <w:hideMark/>
          </w:tcPr>
          <w:p w14:paraId="00F6A9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PBillDt</w:t>
            </w:r>
            <w:proofErr w:type="spellEnd"/>
          </w:p>
        </w:tc>
        <w:tc>
          <w:tcPr>
            <w:tcW w:w="875" w:type="pct"/>
            <w:tcBorders>
              <w:top w:val="single" w:sz="4" w:space="0" w:color="auto"/>
              <w:left w:val="nil"/>
              <w:bottom w:val="single" w:sz="4" w:space="0" w:color="auto"/>
              <w:right w:val="single" w:sz="4" w:space="0" w:color="auto"/>
            </w:tcBorders>
            <w:shd w:val="clear" w:color="000000" w:fill="D09999"/>
            <w:noWrap/>
            <w:hideMark/>
          </w:tcPr>
          <w:p w14:paraId="11C81209"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Item Code</w:t>
            </w:r>
          </w:p>
        </w:tc>
      </w:tr>
      <w:tr w:rsidR="00FC6472" w:rsidRPr="00B96BF1" w14:paraId="6FBCB57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77F407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7D84D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202E6D8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302C67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3283C29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MO25034929</w:t>
            </w:r>
          </w:p>
        </w:tc>
        <w:tc>
          <w:tcPr>
            <w:tcW w:w="615" w:type="pct"/>
            <w:tcBorders>
              <w:top w:val="nil"/>
              <w:left w:val="nil"/>
              <w:bottom w:val="single" w:sz="4" w:space="0" w:color="auto"/>
              <w:right w:val="single" w:sz="4" w:space="0" w:color="auto"/>
            </w:tcBorders>
            <w:noWrap/>
            <w:hideMark/>
          </w:tcPr>
          <w:p w14:paraId="03CD485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16/10/2025</w:t>
            </w:r>
          </w:p>
        </w:tc>
        <w:tc>
          <w:tcPr>
            <w:tcW w:w="875" w:type="pct"/>
            <w:tcBorders>
              <w:top w:val="nil"/>
              <w:left w:val="nil"/>
              <w:bottom w:val="single" w:sz="4" w:space="0" w:color="auto"/>
              <w:right w:val="single" w:sz="4" w:space="0" w:color="auto"/>
            </w:tcBorders>
            <w:noWrap/>
            <w:hideMark/>
          </w:tcPr>
          <w:p w14:paraId="755C120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442E6E5D"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358971B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4DB4B4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1BE38A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0339DBB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AEA1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F72761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3529050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333549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4CBA0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E88AF8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6CC193F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595776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0B7B3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10CF886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04B1AF9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65F3E4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4192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58DE5F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0FBBA69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2CF1FC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A65A7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8CEBB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7DE93DB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51CAB6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5EE49BE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33EE28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1E8488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5D71452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7634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MO25051936</w:t>
            </w:r>
          </w:p>
        </w:tc>
        <w:tc>
          <w:tcPr>
            <w:tcW w:w="615" w:type="pct"/>
            <w:tcBorders>
              <w:top w:val="nil"/>
              <w:left w:val="nil"/>
              <w:bottom w:val="single" w:sz="4" w:space="0" w:color="auto"/>
              <w:right w:val="single" w:sz="4" w:space="0" w:color="auto"/>
            </w:tcBorders>
            <w:noWrap/>
            <w:hideMark/>
          </w:tcPr>
          <w:p w14:paraId="1AC00B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07/01/2026</w:t>
            </w:r>
          </w:p>
        </w:tc>
        <w:tc>
          <w:tcPr>
            <w:tcW w:w="875" w:type="pct"/>
            <w:tcBorders>
              <w:top w:val="nil"/>
              <w:left w:val="nil"/>
              <w:bottom w:val="single" w:sz="4" w:space="0" w:color="auto"/>
              <w:right w:val="single" w:sz="4" w:space="0" w:color="auto"/>
            </w:tcBorders>
            <w:noWrap/>
            <w:hideMark/>
          </w:tcPr>
          <w:p w14:paraId="549029B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B05069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7E8151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D7DCD4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6E38DF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16F37D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62A774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MO25053832</w:t>
            </w:r>
          </w:p>
        </w:tc>
        <w:tc>
          <w:tcPr>
            <w:tcW w:w="615" w:type="pct"/>
            <w:tcBorders>
              <w:top w:val="nil"/>
              <w:left w:val="nil"/>
              <w:bottom w:val="single" w:sz="4" w:space="0" w:color="auto"/>
              <w:right w:val="single" w:sz="4" w:space="0" w:color="auto"/>
            </w:tcBorders>
            <w:noWrap/>
            <w:hideMark/>
          </w:tcPr>
          <w:p w14:paraId="762E8F3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733858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5DE57E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ADA47A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2FC0DD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5AAAC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63E9E0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E562F2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M025068330</w:t>
            </w:r>
          </w:p>
        </w:tc>
        <w:tc>
          <w:tcPr>
            <w:tcW w:w="615" w:type="pct"/>
            <w:tcBorders>
              <w:top w:val="nil"/>
              <w:left w:val="nil"/>
              <w:bottom w:val="single" w:sz="4" w:space="0" w:color="auto"/>
              <w:right w:val="single" w:sz="4" w:space="0" w:color="auto"/>
            </w:tcBorders>
            <w:noWrap/>
            <w:hideMark/>
          </w:tcPr>
          <w:p w14:paraId="6B5C65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23/03/2026</w:t>
            </w:r>
          </w:p>
        </w:tc>
        <w:tc>
          <w:tcPr>
            <w:tcW w:w="875" w:type="pct"/>
            <w:tcBorders>
              <w:top w:val="nil"/>
              <w:left w:val="nil"/>
              <w:bottom w:val="single" w:sz="4" w:space="0" w:color="auto"/>
              <w:right w:val="single" w:sz="4" w:space="0" w:color="auto"/>
            </w:tcBorders>
            <w:noWrap/>
            <w:hideMark/>
          </w:tcPr>
          <w:p w14:paraId="52C019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9A940BA"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7DDFDB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FFCD3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7142DF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D96693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7E4F00E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37E17D6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60956F6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48CD9D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D2506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07DCB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35051C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011766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8F87E9F"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501E89D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3E9B66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537FD0AF"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A8D820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1C1B1C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PO26-27/321</w:t>
            </w:r>
          </w:p>
        </w:tc>
        <w:tc>
          <w:tcPr>
            <w:tcW w:w="373" w:type="pct"/>
            <w:tcBorders>
              <w:top w:val="nil"/>
              <w:left w:val="nil"/>
              <w:bottom w:val="single" w:sz="4" w:space="0" w:color="auto"/>
              <w:right w:val="single" w:sz="4" w:space="0" w:color="auto"/>
            </w:tcBorders>
            <w:noWrap/>
            <w:hideMark/>
          </w:tcPr>
          <w:p w14:paraId="4ECE602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31</w:t>
            </w:r>
          </w:p>
        </w:tc>
        <w:tc>
          <w:tcPr>
            <w:tcW w:w="586" w:type="pct"/>
            <w:tcBorders>
              <w:top w:val="nil"/>
              <w:left w:val="nil"/>
              <w:bottom w:val="single" w:sz="4" w:space="0" w:color="auto"/>
              <w:right w:val="single" w:sz="4" w:space="0" w:color="auto"/>
            </w:tcBorders>
            <w:noWrap/>
            <w:hideMark/>
          </w:tcPr>
          <w:p w14:paraId="5E4BCD3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D0C02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MO25046370</w:t>
            </w:r>
          </w:p>
        </w:tc>
        <w:tc>
          <w:tcPr>
            <w:tcW w:w="615" w:type="pct"/>
            <w:tcBorders>
              <w:top w:val="nil"/>
              <w:left w:val="nil"/>
              <w:bottom w:val="single" w:sz="4" w:space="0" w:color="auto"/>
              <w:right w:val="single" w:sz="4" w:space="0" w:color="auto"/>
            </w:tcBorders>
            <w:noWrap/>
            <w:hideMark/>
          </w:tcPr>
          <w:p w14:paraId="70BE701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12/12/2025</w:t>
            </w:r>
          </w:p>
        </w:tc>
        <w:tc>
          <w:tcPr>
            <w:tcW w:w="875" w:type="pct"/>
            <w:tcBorders>
              <w:top w:val="nil"/>
              <w:left w:val="nil"/>
              <w:bottom w:val="single" w:sz="4" w:space="0" w:color="auto"/>
              <w:right w:val="single" w:sz="4" w:space="0" w:color="auto"/>
            </w:tcBorders>
            <w:noWrap/>
            <w:hideMark/>
          </w:tcPr>
          <w:p w14:paraId="54DE25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1538-2</w:t>
            </w:r>
          </w:p>
        </w:tc>
      </w:tr>
      <w:tr w:rsidR="00FC6472" w:rsidRPr="00B96BF1" w14:paraId="1DA665C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975B83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42A073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PO26-27/328</w:t>
            </w:r>
          </w:p>
        </w:tc>
        <w:tc>
          <w:tcPr>
            <w:tcW w:w="373" w:type="pct"/>
            <w:tcBorders>
              <w:top w:val="nil"/>
              <w:left w:val="nil"/>
              <w:bottom w:val="single" w:sz="4" w:space="0" w:color="auto"/>
              <w:right w:val="single" w:sz="4" w:space="0" w:color="auto"/>
            </w:tcBorders>
            <w:noWrap/>
            <w:hideMark/>
          </w:tcPr>
          <w:p w14:paraId="3B641AB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32</w:t>
            </w:r>
          </w:p>
        </w:tc>
        <w:tc>
          <w:tcPr>
            <w:tcW w:w="586" w:type="pct"/>
            <w:tcBorders>
              <w:top w:val="nil"/>
              <w:left w:val="nil"/>
              <w:bottom w:val="single" w:sz="4" w:space="0" w:color="auto"/>
              <w:right w:val="single" w:sz="4" w:space="0" w:color="auto"/>
            </w:tcBorders>
            <w:noWrap/>
            <w:hideMark/>
          </w:tcPr>
          <w:p w14:paraId="0A61550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3083ED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CO25035451</w:t>
            </w:r>
          </w:p>
        </w:tc>
        <w:tc>
          <w:tcPr>
            <w:tcW w:w="615" w:type="pct"/>
            <w:tcBorders>
              <w:top w:val="nil"/>
              <w:left w:val="nil"/>
              <w:bottom w:val="single" w:sz="4" w:space="0" w:color="auto"/>
              <w:right w:val="single" w:sz="4" w:space="0" w:color="auto"/>
            </w:tcBorders>
            <w:noWrap/>
            <w:hideMark/>
          </w:tcPr>
          <w:p w14:paraId="7E5EBE2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13B0C88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50EC88A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39A8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29FFF4D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PO26-27/69</w:t>
            </w:r>
          </w:p>
        </w:tc>
        <w:tc>
          <w:tcPr>
            <w:tcW w:w="373" w:type="pct"/>
            <w:tcBorders>
              <w:top w:val="nil"/>
              <w:left w:val="nil"/>
              <w:bottom w:val="single" w:sz="4" w:space="0" w:color="auto"/>
              <w:right w:val="single" w:sz="4" w:space="0" w:color="auto"/>
            </w:tcBorders>
            <w:noWrap/>
            <w:hideMark/>
          </w:tcPr>
          <w:p w14:paraId="5B617DB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36</w:t>
            </w:r>
          </w:p>
        </w:tc>
        <w:tc>
          <w:tcPr>
            <w:tcW w:w="586" w:type="pct"/>
            <w:tcBorders>
              <w:top w:val="nil"/>
              <w:left w:val="nil"/>
              <w:bottom w:val="single" w:sz="4" w:space="0" w:color="auto"/>
              <w:right w:val="single" w:sz="4" w:space="0" w:color="auto"/>
            </w:tcBorders>
            <w:noWrap/>
            <w:hideMark/>
          </w:tcPr>
          <w:p w14:paraId="46203DC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EFD26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MO25026425</w:t>
            </w:r>
          </w:p>
        </w:tc>
        <w:tc>
          <w:tcPr>
            <w:tcW w:w="615" w:type="pct"/>
            <w:tcBorders>
              <w:top w:val="nil"/>
              <w:left w:val="nil"/>
              <w:bottom w:val="single" w:sz="4" w:space="0" w:color="auto"/>
              <w:right w:val="single" w:sz="4" w:space="0" w:color="auto"/>
            </w:tcBorders>
            <w:noWrap/>
            <w:hideMark/>
          </w:tcPr>
          <w:p w14:paraId="54671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02/09/2025</w:t>
            </w:r>
          </w:p>
        </w:tc>
        <w:tc>
          <w:tcPr>
            <w:tcW w:w="875" w:type="pct"/>
            <w:tcBorders>
              <w:top w:val="nil"/>
              <w:left w:val="nil"/>
              <w:bottom w:val="single" w:sz="4" w:space="0" w:color="auto"/>
              <w:right w:val="single" w:sz="4" w:space="0" w:color="auto"/>
            </w:tcBorders>
            <w:noWrap/>
            <w:hideMark/>
          </w:tcPr>
          <w:p w14:paraId="11C015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1538-3</w:t>
            </w:r>
          </w:p>
        </w:tc>
      </w:tr>
      <w:tr w:rsidR="00FC6472" w:rsidRPr="00B96BF1" w14:paraId="30264B8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D439D4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5F482A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PO26-27/47</w:t>
            </w:r>
          </w:p>
        </w:tc>
        <w:tc>
          <w:tcPr>
            <w:tcW w:w="373" w:type="pct"/>
            <w:tcBorders>
              <w:top w:val="nil"/>
              <w:left w:val="nil"/>
              <w:bottom w:val="single" w:sz="4" w:space="0" w:color="auto"/>
              <w:right w:val="single" w:sz="4" w:space="0" w:color="auto"/>
            </w:tcBorders>
            <w:noWrap/>
            <w:hideMark/>
          </w:tcPr>
          <w:p w14:paraId="5044474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38</w:t>
            </w:r>
          </w:p>
        </w:tc>
        <w:tc>
          <w:tcPr>
            <w:tcW w:w="586" w:type="pct"/>
            <w:tcBorders>
              <w:top w:val="nil"/>
              <w:left w:val="nil"/>
              <w:bottom w:val="single" w:sz="4" w:space="0" w:color="auto"/>
              <w:right w:val="single" w:sz="4" w:space="0" w:color="auto"/>
            </w:tcBorders>
            <w:noWrap/>
            <w:hideMark/>
          </w:tcPr>
          <w:p w14:paraId="666F8B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60464D2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CO25031252</w:t>
            </w:r>
          </w:p>
        </w:tc>
        <w:tc>
          <w:tcPr>
            <w:tcW w:w="615" w:type="pct"/>
            <w:tcBorders>
              <w:top w:val="nil"/>
              <w:left w:val="nil"/>
              <w:bottom w:val="single" w:sz="4" w:space="0" w:color="auto"/>
              <w:right w:val="single" w:sz="4" w:space="0" w:color="auto"/>
            </w:tcBorders>
            <w:noWrap/>
            <w:hideMark/>
          </w:tcPr>
          <w:p w14:paraId="040B248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11/12/2025</w:t>
            </w:r>
          </w:p>
        </w:tc>
        <w:tc>
          <w:tcPr>
            <w:tcW w:w="875" w:type="pct"/>
            <w:tcBorders>
              <w:top w:val="nil"/>
              <w:left w:val="nil"/>
              <w:bottom w:val="single" w:sz="4" w:space="0" w:color="auto"/>
              <w:right w:val="single" w:sz="4" w:space="0" w:color="auto"/>
            </w:tcBorders>
            <w:noWrap/>
            <w:hideMark/>
          </w:tcPr>
          <w:p w14:paraId="3A85ABA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3346 CAVILON</w:t>
            </w:r>
          </w:p>
        </w:tc>
      </w:tr>
      <w:tr w:rsidR="00FC6472" w:rsidRPr="00B96BF1" w14:paraId="783FDBBE"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82C49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619A81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PO26-27/1553</w:t>
            </w:r>
          </w:p>
        </w:tc>
        <w:tc>
          <w:tcPr>
            <w:tcW w:w="373" w:type="pct"/>
            <w:tcBorders>
              <w:top w:val="nil"/>
              <w:left w:val="nil"/>
              <w:bottom w:val="single" w:sz="4" w:space="0" w:color="auto"/>
              <w:right w:val="single" w:sz="4" w:space="0" w:color="auto"/>
            </w:tcBorders>
            <w:noWrap/>
            <w:hideMark/>
          </w:tcPr>
          <w:p w14:paraId="0152D5F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w:t>
            </w:r>
          </w:p>
        </w:tc>
        <w:tc>
          <w:tcPr>
            <w:tcW w:w="586" w:type="pct"/>
            <w:tcBorders>
              <w:top w:val="nil"/>
              <w:left w:val="nil"/>
              <w:bottom w:val="single" w:sz="4" w:space="0" w:color="auto"/>
              <w:right w:val="single" w:sz="4" w:space="0" w:color="auto"/>
            </w:tcBorders>
            <w:noWrap/>
            <w:hideMark/>
          </w:tcPr>
          <w:p w14:paraId="61E773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0753FC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CO25029135</w:t>
            </w:r>
          </w:p>
        </w:tc>
        <w:tc>
          <w:tcPr>
            <w:tcW w:w="615" w:type="pct"/>
            <w:tcBorders>
              <w:top w:val="nil"/>
              <w:left w:val="nil"/>
              <w:bottom w:val="single" w:sz="4" w:space="0" w:color="auto"/>
              <w:right w:val="single" w:sz="4" w:space="0" w:color="auto"/>
            </w:tcBorders>
            <w:noWrap/>
            <w:hideMark/>
          </w:tcPr>
          <w:p w14:paraId="3C149B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24/11/2025</w:t>
            </w:r>
          </w:p>
        </w:tc>
        <w:tc>
          <w:tcPr>
            <w:tcW w:w="875" w:type="pct"/>
            <w:tcBorders>
              <w:top w:val="nil"/>
              <w:left w:val="nil"/>
              <w:bottom w:val="single" w:sz="4" w:space="0" w:color="auto"/>
              <w:right w:val="single" w:sz="4" w:space="0" w:color="auto"/>
            </w:tcBorders>
            <w:noWrap/>
            <w:hideMark/>
          </w:tcPr>
          <w:p w14:paraId="7D9410D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1050STERIDRA</w:t>
            </w:r>
          </w:p>
        </w:tc>
      </w:tr>
      <w:tr w:rsidR="00FC6472" w:rsidRPr="00B96BF1" w14:paraId="5BD308B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DE09A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525087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PO26-27/1718</w:t>
            </w:r>
          </w:p>
        </w:tc>
        <w:tc>
          <w:tcPr>
            <w:tcW w:w="373" w:type="pct"/>
            <w:tcBorders>
              <w:top w:val="nil"/>
              <w:left w:val="nil"/>
              <w:bottom w:val="single" w:sz="4" w:space="0" w:color="auto"/>
              <w:right w:val="single" w:sz="4" w:space="0" w:color="auto"/>
            </w:tcBorders>
            <w:noWrap/>
            <w:hideMark/>
          </w:tcPr>
          <w:p w14:paraId="48C170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145</w:t>
            </w:r>
          </w:p>
        </w:tc>
        <w:tc>
          <w:tcPr>
            <w:tcW w:w="586" w:type="pct"/>
            <w:tcBorders>
              <w:top w:val="nil"/>
              <w:left w:val="nil"/>
              <w:bottom w:val="single" w:sz="4" w:space="0" w:color="auto"/>
              <w:right w:val="single" w:sz="4" w:space="0" w:color="auto"/>
            </w:tcBorders>
            <w:noWrap/>
            <w:hideMark/>
          </w:tcPr>
          <w:p w14:paraId="3FF57C5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47B0F8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6B38D0A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DA9BEA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1040E5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A02755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B5CD6D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PO26-27/1606</w:t>
            </w:r>
          </w:p>
        </w:tc>
        <w:tc>
          <w:tcPr>
            <w:tcW w:w="373" w:type="pct"/>
            <w:tcBorders>
              <w:top w:val="nil"/>
              <w:left w:val="nil"/>
              <w:bottom w:val="single" w:sz="4" w:space="0" w:color="auto"/>
              <w:right w:val="single" w:sz="4" w:space="0" w:color="auto"/>
            </w:tcBorders>
            <w:noWrap/>
            <w:hideMark/>
          </w:tcPr>
          <w:p w14:paraId="13AB959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163</w:t>
            </w:r>
          </w:p>
        </w:tc>
        <w:tc>
          <w:tcPr>
            <w:tcW w:w="586" w:type="pct"/>
            <w:tcBorders>
              <w:top w:val="nil"/>
              <w:left w:val="nil"/>
              <w:bottom w:val="single" w:sz="4" w:space="0" w:color="auto"/>
              <w:right w:val="single" w:sz="4" w:space="0" w:color="auto"/>
            </w:tcBorders>
            <w:noWrap/>
            <w:hideMark/>
          </w:tcPr>
          <w:p w14:paraId="3897336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1B9CA77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M025064292</w:t>
            </w:r>
          </w:p>
        </w:tc>
        <w:tc>
          <w:tcPr>
            <w:tcW w:w="615" w:type="pct"/>
            <w:tcBorders>
              <w:top w:val="nil"/>
              <w:left w:val="nil"/>
              <w:bottom w:val="single" w:sz="4" w:space="0" w:color="auto"/>
              <w:right w:val="single" w:sz="4" w:space="0" w:color="auto"/>
            </w:tcBorders>
            <w:noWrap/>
            <w:hideMark/>
          </w:tcPr>
          <w:p w14:paraId="63D0D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02/03/2026</w:t>
            </w:r>
          </w:p>
        </w:tc>
        <w:tc>
          <w:tcPr>
            <w:tcW w:w="875" w:type="pct"/>
            <w:tcBorders>
              <w:top w:val="nil"/>
              <w:left w:val="nil"/>
              <w:bottom w:val="single" w:sz="4" w:space="0" w:color="auto"/>
              <w:right w:val="single" w:sz="4" w:space="0" w:color="auto"/>
            </w:tcBorders>
            <w:noWrap/>
            <w:hideMark/>
          </w:tcPr>
          <w:p w14:paraId="5D1DC0A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ULTRARAPID</w:t>
            </w:r>
          </w:p>
        </w:tc>
      </w:tr>
      <w:tr w:rsidR="00FC6472" w:rsidRPr="00B96BF1" w14:paraId="468937F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A6D56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255BA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PO26-27/2208</w:t>
            </w:r>
          </w:p>
        </w:tc>
        <w:tc>
          <w:tcPr>
            <w:tcW w:w="373" w:type="pct"/>
            <w:tcBorders>
              <w:top w:val="nil"/>
              <w:left w:val="nil"/>
              <w:bottom w:val="single" w:sz="4" w:space="0" w:color="auto"/>
              <w:right w:val="single" w:sz="4" w:space="0" w:color="auto"/>
            </w:tcBorders>
            <w:noWrap/>
            <w:hideMark/>
          </w:tcPr>
          <w:p w14:paraId="7DD89BF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166</w:t>
            </w:r>
          </w:p>
        </w:tc>
        <w:tc>
          <w:tcPr>
            <w:tcW w:w="586" w:type="pct"/>
            <w:tcBorders>
              <w:top w:val="nil"/>
              <w:left w:val="nil"/>
              <w:bottom w:val="single" w:sz="4" w:space="0" w:color="auto"/>
              <w:right w:val="single" w:sz="4" w:space="0" w:color="auto"/>
            </w:tcBorders>
            <w:noWrap/>
            <w:hideMark/>
          </w:tcPr>
          <w:p w14:paraId="79E479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D0E2A5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CO25040887</w:t>
            </w:r>
          </w:p>
        </w:tc>
        <w:tc>
          <w:tcPr>
            <w:tcW w:w="615" w:type="pct"/>
            <w:tcBorders>
              <w:top w:val="nil"/>
              <w:left w:val="nil"/>
              <w:bottom w:val="single" w:sz="4" w:space="0" w:color="auto"/>
              <w:right w:val="single" w:sz="4" w:space="0" w:color="auto"/>
            </w:tcBorders>
            <w:noWrap/>
            <w:hideMark/>
          </w:tcPr>
          <w:p w14:paraId="337BC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03/03/2026</w:t>
            </w:r>
          </w:p>
        </w:tc>
        <w:tc>
          <w:tcPr>
            <w:tcW w:w="875" w:type="pct"/>
            <w:tcBorders>
              <w:top w:val="nil"/>
              <w:left w:val="nil"/>
              <w:bottom w:val="single" w:sz="4" w:space="0" w:color="auto"/>
              <w:right w:val="single" w:sz="4" w:space="0" w:color="auto"/>
            </w:tcBorders>
            <w:noWrap/>
            <w:hideMark/>
          </w:tcPr>
          <w:p w14:paraId="2E5443D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4D60C41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933BAF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09797B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PO26-27/2556</w:t>
            </w:r>
          </w:p>
        </w:tc>
        <w:tc>
          <w:tcPr>
            <w:tcW w:w="373" w:type="pct"/>
            <w:tcBorders>
              <w:top w:val="nil"/>
              <w:left w:val="nil"/>
              <w:bottom w:val="single" w:sz="4" w:space="0" w:color="auto"/>
              <w:right w:val="single" w:sz="4" w:space="0" w:color="auto"/>
            </w:tcBorders>
            <w:noWrap/>
            <w:hideMark/>
          </w:tcPr>
          <w:p w14:paraId="02A39A4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167</w:t>
            </w:r>
          </w:p>
        </w:tc>
        <w:tc>
          <w:tcPr>
            <w:tcW w:w="586" w:type="pct"/>
            <w:tcBorders>
              <w:top w:val="nil"/>
              <w:left w:val="nil"/>
              <w:bottom w:val="single" w:sz="4" w:space="0" w:color="auto"/>
              <w:right w:val="single" w:sz="4" w:space="0" w:color="auto"/>
            </w:tcBorders>
            <w:noWrap/>
            <w:hideMark/>
          </w:tcPr>
          <w:p w14:paraId="5963419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FD7C12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MO25064430</w:t>
            </w:r>
          </w:p>
        </w:tc>
        <w:tc>
          <w:tcPr>
            <w:tcW w:w="615" w:type="pct"/>
            <w:tcBorders>
              <w:top w:val="nil"/>
              <w:left w:val="nil"/>
              <w:bottom w:val="single" w:sz="4" w:space="0" w:color="auto"/>
              <w:right w:val="single" w:sz="4" w:space="0" w:color="auto"/>
            </w:tcBorders>
            <w:noWrap/>
            <w:hideMark/>
          </w:tcPr>
          <w:p w14:paraId="2319E5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04/03/2026</w:t>
            </w:r>
          </w:p>
        </w:tc>
        <w:tc>
          <w:tcPr>
            <w:tcW w:w="875" w:type="pct"/>
            <w:tcBorders>
              <w:top w:val="nil"/>
              <w:left w:val="nil"/>
              <w:bottom w:val="single" w:sz="4" w:space="0" w:color="auto"/>
              <w:right w:val="single" w:sz="4" w:space="0" w:color="auto"/>
            </w:tcBorders>
            <w:noWrap/>
            <w:hideMark/>
          </w:tcPr>
          <w:p w14:paraId="338E4A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10%500ML</w:t>
            </w:r>
          </w:p>
        </w:tc>
      </w:tr>
      <w:tr w:rsidR="00FC6472" w:rsidRPr="00B96BF1" w14:paraId="78D414F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44F06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36AE226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PO26-27/2977</w:t>
            </w:r>
          </w:p>
        </w:tc>
        <w:tc>
          <w:tcPr>
            <w:tcW w:w="373" w:type="pct"/>
            <w:tcBorders>
              <w:top w:val="nil"/>
              <w:left w:val="nil"/>
              <w:bottom w:val="single" w:sz="4" w:space="0" w:color="auto"/>
              <w:right w:val="single" w:sz="4" w:space="0" w:color="auto"/>
            </w:tcBorders>
            <w:noWrap/>
            <w:hideMark/>
          </w:tcPr>
          <w:p w14:paraId="5169B82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210</w:t>
            </w:r>
          </w:p>
        </w:tc>
        <w:tc>
          <w:tcPr>
            <w:tcW w:w="586" w:type="pct"/>
            <w:tcBorders>
              <w:top w:val="nil"/>
              <w:left w:val="nil"/>
              <w:bottom w:val="single" w:sz="4" w:space="0" w:color="auto"/>
              <w:right w:val="single" w:sz="4" w:space="0" w:color="auto"/>
            </w:tcBorders>
            <w:noWrap/>
            <w:hideMark/>
          </w:tcPr>
          <w:p w14:paraId="5FC9C27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14-04-2026</w:t>
            </w:r>
          </w:p>
        </w:tc>
        <w:tc>
          <w:tcPr>
            <w:tcW w:w="638" w:type="pct"/>
            <w:tcBorders>
              <w:top w:val="nil"/>
              <w:left w:val="nil"/>
              <w:bottom w:val="single" w:sz="4" w:space="0" w:color="auto"/>
              <w:right w:val="single" w:sz="4" w:space="0" w:color="auto"/>
            </w:tcBorders>
            <w:noWrap/>
            <w:hideMark/>
          </w:tcPr>
          <w:p w14:paraId="5A3678C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76C4DF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9C331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1610TEGADERM</w:t>
            </w:r>
          </w:p>
        </w:tc>
      </w:tr>
    </w:tbl>
    <w:p w14:paraId="49A864B8" w14:textId="77777777" w:rsidR="003E020F" w:rsidRPr="001A0A8F" w:rsidRDefault="003E020F" w:rsidP="00A96227">
      <w:pPr>
        <w:spacing w:before="200" w:after="200"/>
        <w:rPr>
          <w:rFonts w:ascii="Serif" w:hAnsi="Serif"/>
          <w:sz w:val="22"/>
          <w:szCs w:val="22"/>
        </w:rPr>
      </w:pPr>
    </w:p>
    <w:p w14:paraId="5C2CC1E1" w14:textId="3C257930"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DISCUSSION</w:t>
      </w:r>
    </w:p>
    <w:p w14:paraId="3C16C92D" w14:textId="5D0C4E3A"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Albright hereditary osteodystrophy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are among the three distinct genetic illnesses that cause the heterotopic bone in soft tissue </w:t>
      </w:r>
      <w:r w:rsidRPr="001A0A8F">
        <w:rPr>
          <w:rFonts w:ascii="Serif" w:hAnsi="Serif"/>
          <w:sz w:val="22"/>
          <w:szCs w:val="22"/>
          <w:vertAlign w:val="superscript"/>
        </w:rPr>
        <w:t>[2]</w:t>
      </w:r>
      <w:r w:rsidRPr="001A0A8F">
        <w:rPr>
          <w:rFonts w:ascii="Serif" w:hAnsi="Serif"/>
          <w:sz w:val="22"/>
          <w:szCs w:val="22"/>
        </w:rPr>
        <w:t xml:space="preserve">. FOP deserves special attention as it can be diagnosed via clinical presentation together with radiological findings. FOP is the only one among these three genetic illnesses that have a course of soft tissue flare up following injury, spare the skin and with great toes malformation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It is commonly misdiagnosed as myositis ossificans and underwent surgical interventions. The diagnosis of FOP is based on three criteria: congenital malformation of the great toes, progressive heterotopic endochondral ossification, and progression of the disease in well-defined anatomical and temporal patterns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p>
    <w:p w14:paraId="5130A787" w14:textId="1BEC313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total registered population of the global FOP community in the year 2016 was 834 living individuals based on the database of International Fibrodysplasia Ossificans Progressiva Association (IFOPA)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_Ref227864302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1</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prevalence varies from 0.04 per million to 0.65 per million across the world </w:t>
      </w:r>
      <w:r w:rsidRPr="001A0A8F">
        <w:rPr>
          <w:rFonts w:ascii="Serif" w:hAnsi="Serif"/>
          <w:sz w:val="22"/>
          <w:szCs w:val="22"/>
          <w:vertAlign w:val="superscript"/>
        </w:rPr>
        <w:t>[1]</w:t>
      </w:r>
      <w:r w:rsidRPr="001A0A8F">
        <w:rPr>
          <w:rFonts w:ascii="Serif" w:hAnsi="Serif"/>
          <w:sz w:val="22"/>
          <w:szCs w:val="22"/>
        </w:rPr>
        <w:t xml:space="preserve">. The high variability in apparent prevalence is likely associated with lack of awareness of FOP, delay in achieving the correct FOP diagnosis and the inability of individuals with FOP to reach the FOP association </w:t>
      </w:r>
      <w:r w:rsidRPr="001A0A8F">
        <w:rPr>
          <w:rFonts w:ascii="Serif" w:hAnsi="Serif"/>
          <w:sz w:val="22"/>
          <w:szCs w:val="22"/>
          <w:vertAlign w:val="superscript"/>
        </w:rPr>
        <w:t>[1]</w:t>
      </w:r>
      <w:r w:rsidRPr="001A0A8F">
        <w:rPr>
          <w:rFonts w:ascii="Serif" w:hAnsi="Serif"/>
          <w:sz w:val="22"/>
          <w:szCs w:val="22"/>
        </w:rPr>
        <w:t xml:space="preserve">. There is no gender, racial or ethnic predilection for FOP </w:t>
      </w:r>
      <w:r w:rsidRPr="001A0A8F">
        <w:rPr>
          <w:rFonts w:ascii="Serif" w:hAnsi="Serif"/>
          <w:sz w:val="22"/>
          <w:szCs w:val="22"/>
          <w:vertAlign w:val="superscript"/>
        </w:rPr>
        <w:t>[1]</w:t>
      </w:r>
      <w:r w:rsidRPr="001A0A8F">
        <w:rPr>
          <w:rFonts w:ascii="Serif" w:hAnsi="Serif"/>
          <w:sz w:val="22"/>
          <w:szCs w:val="22"/>
        </w:rPr>
        <w:t xml:space="preserve">. Most cases of FOP are sporadic, but inheritance can occur by autosomal dominant transmission. Heterozygous missense mutations in activin receptor A, type I (ACVR1), a bone morphogenetic protein (BMP) type I receptor, were identified in all affected individuals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Hence genetic analysis for ACVR1 gene mutation used as a confirmatory test.</w:t>
      </w:r>
    </w:p>
    <w:p w14:paraId="5297BA43" w14:textId="429D7632"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w:t>
      </w:r>
      <w:r w:rsidRPr="001A0A8F">
        <w:rPr>
          <w:rFonts w:ascii="Serif" w:hAnsi="Serif"/>
          <w:sz w:val="22"/>
          <w:szCs w:val="22"/>
        </w:rPr>
        <w:lastRenderedPageBreak/>
        <w:t xml:space="preserve">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21D17C7A" w14:textId="15EB6F48" w:rsidR="003E020F" w:rsidRPr="001A0A8F" w:rsidRDefault="003E020F" w:rsidP="00E505E0">
      <w:pPr>
        <w:spacing w:before="200" w:after="200" w:line="276" w:lineRule="auto"/>
        <w:rPr>
          <w:rFonts w:ascii="Serif" w:hAnsi="Serif"/>
          <w:sz w:val="22"/>
          <w:szCs w:val="22"/>
        </w:rPr>
      </w:pPr>
      <w:r w:rsidRPr="001A0A8F">
        <w:rPr>
          <w:rFonts w:ascii="Serif" w:hAnsi="Serif"/>
          <w:sz w:val="22"/>
          <w:szCs w:val="22"/>
        </w:rPr>
        <w:t xml:space="preserve">The progression pattern of HO in FOP is typically from axial to appendicular, cranial to caudal and proximal to distal </w:t>
      </w:r>
      <w:r w:rsidRPr="001A0A8F">
        <w:rPr>
          <w:rFonts w:ascii="Serif" w:hAnsi="Serif"/>
          <w:sz w:val="22"/>
          <w:szCs w:val="22"/>
          <w:vertAlign w:val="superscript"/>
        </w:rPr>
        <w:t>[2]</w:t>
      </w:r>
      <w:r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There is no specific treatment for FOP, thus the treatment aims for symptomatic relief and prevention of complications. Corticosteroids can be used for initial phases of acute flare up to inhibit the acute and bulk inflammatory infiltration of skeletal muscle and mast cells stabilizers can be used to reduce the symptoms of acute flare up </w:t>
      </w:r>
      <w:r w:rsidRPr="001A0A8F">
        <w:rPr>
          <w:rFonts w:ascii="Serif" w:hAnsi="Serif"/>
          <w:sz w:val="22"/>
          <w:szCs w:val="22"/>
          <w:vertAlign w:val="superscript"/>
        </w:rPr>
        <w:t>[2]</w:t>
      </w:r>
      <w:r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7CA10984" w14:textId="2D097902"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CONCLUSION</w:t>
      </w:r>
    </w:p>
    <w:p w14:paraId="48F70BCE" w14:textId="5F7400E4" w:rsidR="003E020F" w:rsidRPr="001A0A8F" w:rsidRDefault="003E020F" w:rsidP="00A96227">
      <w:pPr>
        <w:spacing w:before="200" w:after="200"/>
        <w:rPr>
          <w:rFonts w:ascii="Serif" w:hAnsi="Serif"/>
          <w:sz w:val="22"/>
          <w:szCs w:val="22"/>
        </w:rPr>
      </w:pPr>
      <w:r w:rsidRPr="001A0A8F">
        <w:rPr>
          <w:rFonts w:ascii="Serif" w:hAnsi="Serif"/>
          <w:sz w:val="22"/>
          <w:szCs w:val="22"/>
        </w:rPr>
        <w:t>Although FOP is rare, however, it can be easily identified via its typical presentation and radiological findings. Awareness among health care workers is important in order not to miss the disease. Early correct diagnosis of FOP is essential to avoid unnecessary intervention that causes iatrogenic aggravation of the disease.</w:t>
      </w:r>
    </w:p>
    <w:p w14:paraId="488CCB9B" w14:textId="00530964"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Conflicts of Interest</w:t>
      </w:r>
    </w:p>
    <w:p w14:paraId="5C6BD71E"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No conflict of interest related to this article.</w:t>
      </w:r>
    </w:p>
    <w:p w14:paraId="302883A0"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Authors’ Contribution</w:t>
      </w:r>
    </w:p>
    <w:p w14:paraId="1D4E4FEB" w14:textId="0C9BFDA6" w:rsidR="003E020F" w:rsidRPr="001A0A8F" w:rsidRDefault="003E020F" w:rsidP="00A96227">
      <w:pPr>
        <w:spacing w:before="200" w:after="200"/>
        <w:rPr>
          <w:rFonts w:ascii="Serif" w:hAnsi="Serif"/>
          <w:sz w:val="22"/>
          <w:szCs w:val="22"/>
        </w:rPr>
      </w:pPr>
      <w:r w:rsidRPr="001A0A8F">
        <w:rPr>
          <w:rFonts w:ascii="Serif" w:hAnsi="Serif"/>
          <w:sz w:val="22"/>
          <w:szCs w:val="22"/>
        </w:rPr>
        <w:t>Ng YH, Ng CR and Ibrahim S involved in the management of patient. Ng YH and Ng CR are involved in the acquisition of information. Chai YC and Ng YH wrote the manuscript with input from all authors. Chai YC was involved in revising and editing the manuscript critically. All authors read and approved the final manuscript.</w:t>
      </w:r>
    </w:p>
    <w:p w14:paraId="605CA616"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Acknowledgement</w:t>
      </w:r>
    </w:p>
    <w:p w14:paraId="5D5C9147" w14:textId="575E853F"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thank the Director General of Health Malaysia for his permission to publish this article.</w:t>
      </w:r>
    </w:p>
    <w:p w14:paraId="433E313A"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record our appreciation to the patient's parents who provided the written consent to authors for publication of this case report.</w:t>
      </w:r>
    </w:p>
    <w:p w14:paraId="43F34F25"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Funding</w:t>
      </w:r>
    </w:p>
    <w:p w14:paraId="68300672"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The authors received no specific grants from any funding agencies.</w:t>
      </w:r>
    </w:p>
    <w:p w14:paraId="40879A3F" w14:textId="77777777" w:rsidR="00E505E0" w:rsidRDefault="00E505E0" w:rsidP="00A96227">
      <w:pPr>
        <w:spacing w:before="200" w:after="200"/>
        <w:rPr>
          <w:rFonts w:ascii="Serif" w:hAnsi="Serif"/>
          <w:b/>
          <w:bCs/>
          <w:sz w:val="22"/>
          <w:szCs w:val="22"/>
        </w:rPr>
      </w:pPr>
    </w:p>
    <w:p w14:paraId="1574329C" w14:textId="6A9DBDCF" w:rsidR="003E020F" w:rsidRPr="001A0A8F" w:rsidRDefault="003E020F" w:rsidP="00A96227">
      <w:pPr>
        <w:spacing w:before="200" w:after="200"/>
        <w:rPr>
          <w:rFonts w:ascii="Serif" w:hAnsi="Serif"/>
          <w:b/>
          <w:bCs/>
          <w:sz w:val="22"/>
          <w:szCs w:val="22"/>
        </w:rPr>
      </w:pPr>
      <w:r w:rsidRPr="001A0A8F">
        <w:rPr>
          <w:rFonts w:ascii="Serif" w:hAnsi="Serif"/>
          <w:b/>
          <w:bCs/>
          <w:sz w:val="22"/>
          <w:szCs w:val="22"/>
        </w:rPr>
        <w:lastRenderedPageBreak/>
        <w:t>Consent for Publication</w:t>
      </w:r>
    </w:p>
    <w:p w14:paraId="25C6536E" w14:textId="619876B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w:t>
      </w:r>
      <w:proofErr w:type="gramStart"/>
      <w:r w:rsidRPr="001A0A8F">
        <w:rPr>
          <w:rFonts w:ascii="Serif" w:hAnsi="Serif"/>
          <w:sz w:val="22"/>
          <w:szCs w:val="22"/>
        </w:rPr>
        <w:t>patient‘</w:t>
      </w:r>
      <w:proofErr w:type="gramEnd"/>
      <w:r w:rsidRPr="001A0A8F">
        <w:rPr>
          <w:rFonts w:ascii="Serif" w:hAnsi="Serif"/>
          <w:sz w:val="22"/>
          <w:szCs w:val="22"/>
        </w:rPr>
        <w:t>s parents provided the authors written consent for the publication of this case report.</w:t>
      </w:r>
    </w:p>
    <w:p w14:paraId="447B64BF" w14:textId="310EDC3D"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REFERENCES</w:t>
      </w:r>
    </w:p>
    <w:p w14:paraId="4CD4DFA8" w14:textId="74C7A15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1" w:name="_Ref227864302"/>
      <w:proofErr w:type="spellStart"/>
      <w:r w:rsidRPr="001A0A8F">
        <w:rPr>
          <w:rFonts w:ascii="Serif" w:hAnsi="Serif"/>
          <w:sz w:val="22"/>
          <w:szCs w:val="22"/>
        </w:rPr>
        <w:t>Liljesthro</w:t>
      </w:r>
      <w:r w:rsidRPr="001A0A8F">
        <w:rPr>
          <w:rFonts w:ascii="Serif" w:hAnsi="Serif" w:cs="Times New Roman"/>
          <w:sz w:val="22"/>
          <w:szCs w:val="22"/>
        </w:rPr>
        <w:t>̈</w:t>
      </w:r>
      <w:r w:rsidRPr="001A0A8F">
        <w:rPr>
          <w:rFonts w:ascii="Serif" w:hAnsi="Serif"/>
          <w:sz w:val="22"/>
          <w:szCs w:val="22"/>
        </w:rPr>
        <w:t>m</w:t>
      </w:r>
      <w:proofErr w:type="spellEnd"/>
      <w:r w:rsidRPr="001A0A8F">
        <w:rPr>
          <w:rFonts w:ascii="Serif" w:hAnsi="Serif"/>
          <w:sz w:val="22"/>
          <w:szCs w:val="22"/>
        </w:rPr>
        <w:t xml:space="preserve"> M PR, Kaplan FS. epidemiology-of-the-global-fibrodysplasia-ossificans-progressiva-fop-community. J Rare Dis Res Treat. 2020; 5(2):31-6.</w:t>
      </w:r>
      <w:bookmarkEnd w:id="1"/>
    </w:p>
    <w:p w14:paraId="1D951BEE" w14:textId="05D65A10"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2" w:name="_Ref227864484"/>
      <w:r w:rsidRPr="001A0A8F">
        <w:rPr>
          <w:rFonts w:ascii="Serif" w:hAnsi="Serif"/>
          <w:sz w:val="22"/>
          <w:szCs w:val="22"/>
        </w:rPr>
        <w:t xml:space="preserve">Delai PLR, </w:t>
      </w:r>
      <w:proofErr w:type="spellStart"/>
      <w:r w:rsidRPr="001A0A8F">
        <w:rPr>
          <w:rFonts w:ascii="Serif" w:hAnsi="Serif"/>
          <w:sz w:val="22"/>
          <w:szCs w:val="22"/>
        </w:rPr>
        <w:t>Kantanie</w:t>
      </w:r>
      <w:proofErr w:type="spellEnd"/>
      <w:r w:rsidRPr="001A0A8F">
        <w:rPr>
          <w:rFonts w:ascii="Serif" w:hAnsi="Serif"/>
          <w:sz w:val="22"/>
          <w:szCs w:val="22"/>
        </w:rPr>
        <w:t xml:space="preserve"> S, </w:t>
      </w:r>
      <w:proofErr w:type="spellStart"/>
      <w:r w:rsidRPr="001A0A8F">
        <w:rPr>
          <w:rFonts w:ascii="Serif" w:hAnsi="Serif"/>
          <w:sz w:val="22"/>
          <w:szCs w:val="22"/>
        </w:rPr>
        <w:t>Santili</w:t>
      </w:r>
      <w:proofErr w:type="spellEnd"/>
      <w:r w:rsidRPr="001A0A8F">
        <w:rPr>
          <w:rFonts w:ascii="Serif" w:hAnsi="Serif"/>
          <w:sz w:val="22"/>
          <w:szCs w:val="22"/>
        </w:rPr>
        <w:t xml:space="preserve"> CL, Kaplan FS. Fibrodysplasia ossificans progressiva: a hereditary illness of multidisciplinary interest. Rev Bras </w:t>
      </w:r>
      <w:proofErr w:type="spellStart"/>
      <w:r w:rsidRPr="001A0A8F">
        <w:rPr>
          <w:rFonts w:ascii="Serif" w:hAnsi="Serif"/>
          <w:sz w:val="22"/>
          <w:szCs w:val="22"/>
        </w:rPr>
        <w:t>Ortop</w:t>
      </w:r>
      <w:proofErr w:type="spellEnd"/>
      <w:r w:rsidRPr="001A0A8F">
        <w:rPr>
          <w:rFonts w:ascii="Serif" w:hAnsi="Serif"/>
          <w:sz w:val="22"/>
          <w:szCs w:val="22"/>
        </w:rPr>
        <w:t xml:space="preserve"> 2004; 39:205-13.</w:t>
      </w:r>
      <w:bookmarkEnd w:id="2"/>
    </w:p>
    <w:p w14:paraId="7C5D4283" w14:textId="788E3D91"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3" w:name="_Ref227864500"/>
      <w:r w:rsidRPr="001A0A8F">
        <w:rPr>
          <w:rFonts w:ascii="Serif" w:hAnsi="Serif"/>
          <w:sz w:val="22"/>
          <w:szCs w:val="22"/>
        </w:rPr>
        <w:t xml:space="preserve">Kaplan FS, </w:t>
      </w:r>
      <w:proofErr w:type="spellStart"/>
      <w:r w:rsidRPr="001A0A8F">
        <w:rPr>
          <w:rFonts w:ascii="Serif" w:hAnsi="Serif"/>
          <w:sz w:val="22"/>
          <w:szCs w:val="22"/>
        </w:rPr>
        <w:t>Pignolo</w:t>
      </w:r>
      <w:proofErr w:type="spellEnd"/>
      <w:r w:rsidRPr="001A0A8F">
        <w:rPr>
          <w:rFonts w:ascii="Serif" w:hAnsi="Serif"/>
          <w:sz w:val="22"/>
          <w:szCs w:val="22"/>
        </w:rPr>
        <w:t xml:space="preserve"> RJ, Al </w:t>
      </w:r>
      <w:proofErr w:type="spellStart"/>
      <w:r w:rsidRPr="001A0A8F">
        <w:rPr>
          <w:rFonts w:ascii="Serif" w:hAnsi="Serif"/>
          <w:sz w:val="22"/>
          <w:szCs w:val="22"/>
        </w:rPr>
        <w:t>Mukaddam</w:t>
      </w:r>
      <w:proofErr w:type="spellEnd"/>
      <w:r w:rsidRPr="001A0A8F">
        <w:rPr>
          <w:rFonts w:ascii="Serif" w:hAnsi="Serif"/>
          <w:sz w:val="22"/>
          <w:szCs w:val="22"/>
        </w:rPr>
        <w:t xml:space="preserve"> M, Shore EM. Genetic disorders of heterotopic ossification: fibrodysplasia ossificans progressiva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In: </w:t>
      </w:r>
      <w:proofErr w:type="spellStart"/>
      <w:r w:rsidRPr="001A0A8F">
        <w:rPr>
          <w:rFonts w:ascii="Serif" w:hAnsi="Serif"/>
          <w:sz w:val="22"/>
          <w:szCs w:val="22"/>
        </w:rPr>
        <w:t>Bilezikian</w:t>
      </w:r>
      <w:proofErr w:type="spellEnd"/>
      <w:r w:rsidRPr="001A0A8F">
        <w:rPr>
          <w:rFonts w:ascii="Serif" w:hAnsi="Serif"/>
          <w:sz w:val="22"/>
          <w:szCs w:val="22"/>
        </w:rPr>
        <w:t xml:space="preserve"> JP, editor. Primer on the Metabolic Bone Diseases and Disorders of Mineral Metabolism – 9th ed. The American Society for Bone and Mineral Research, Washington. 2019; pp. 865-70.</w:t>
      </w:r>
      <w:bookmarkEnd w:id="3"/>
    </w:p>
    <w:p w14:paraId="20CD9F9E" w14:textId="2ADAF5D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4" w:name="_Ref227864530"/>
      <w:r w:rsidRPr="001A0A8F">
        <w:rPr>
          <w:rFonts w:ascii="Serif" w:hAnsi="Serif"/>
          <w:sz w:val="22"/>
          <w:szCs w:val="22"/>
        </w:rPr>
        <w:t xml:space="preserve">Kaplan FS, Al </w:t>
      </w:r>
      <w:proofErr w:type="spellStart"/>
      <w:r w:rsidRPr="001A0A8F">
        <w:rPr>
          <w:rFonts w:ascii="Serif" w:hAnsi="Serif"/>
          <w:sz w:val="22"/>
          <w:szCs w:val="22"/>
        </w:rPr>
        <w:t>Mukaddam</w:t>
      </w:r>
      <w:proofErr w:type="spellEnd"/>
      <w:r w:rsidRPr="001A0A8F">
        <w:rPr>
          <w:rFonts w:ascii="Serif" w:hAnsi="Serif"/>
          <w:sz w:val="22"/>
          <w:szCs w:val="22"/>
        </w:rPr>
        <w:t xml:space="preserve"> M, Stanley A, Towler OW, Shore EM. Fibrodysplasia ossificans progressiva (FOP): A disorder of </w:t>
      </w:r>
      <w:proofErr w:type="spellStart"/>
      <w:r w:rsidRPr="001A0A8F">
        <w:rPr>
          <w:rFonts w:ascii="Serif" w:hAnsi="Serif"/>
          <w:sz w:val="22"/>
          <w:szCs w:val="22"/>
        </w:rPr>
        <w:t>osteochondrogenesis</w:t>
      </w:r>
      <w:proofErr w:type="spellEnd"/>
      <w:r w:rsidRPr="001A0A8F">
        <w:rPr>
          <w:rFonts w:ascii="Serif" w:hAnsi="Serif"/>
          <w:sz w:val="22"/>
          <w:szCs w:val="22"/>
        </w:rPr>
        <w:t>. Bone. 2020; 140:115539.</w:t>
      </w:r>
      <w:bookmarkEnd w:id="4"/>
    </w:p>
    <w:p w14:paraId="0ECA966E" w14:textId="0E83CD8C" w:rsidR="003E020F" w:rsidRPr="00B7210A" w:rsidRDefault="003E020F" w:rsidP="00A96227">
      <w:pPr>
        <w:pStyle w:val="ListParagraph"/>
        <w:numPr>
          <w:ilvl w:val="0"/>
          <w:numId w:val="2"/>
        </w:numPr>
        <w:spacing w:before="200" w:after="200"/>
        <w:ind w:left="567" w:hanging="567"/>
        <w:rPr>
          <w:rFonts w:ascii="Serif" w:hAnsi="Serif"/>
          <w:sz w:val="22"/>
          <w:szCs w:val="22"/>
        </w:rPr>
      </w:pPr>
      <w:bookmarkStart w:id="5" w:name="_Ref227864520"/>
      <w:r w:rsidRPr="001A0A8F">
        <w:rPr>
          <w:rFonts w:ascii="Serif" w:hAnsi="Serif"/>
          <w:sz w:val="22"/>
          <w:szCs w:val="22"/>
        </w:rPr>
        <w:t>Shore EM, Xu M, Feldman GJ, Fenstermacher DA, Cho TJ, Choi IH, et al. A recurrent mutation in the BMP type I receptor ACVR1 causes inherited and sporadic fibrodysplasia ossificans progressiva. Nat Genet. 2006; 38(5):525-7.</w:t>
      </w:r>
      <w:bookmarkEnd w:id="5"/>
    </w:p>
    <w:p w14:paraId="0CF9ACB1" w14:textId="77777777" w:rsidR="003E020F" w:rsidRPr="001A0A8F" w:rsidRDefault="003E020F" w:rsidP="00A96227">
      <w:pPr>
        <w:spacing w:before="200" w:after="200"/>
        <w:rPr>
          <w:rFonts w:ascii="Serif" w:hAnsi="Serif"/>
          <w:sz w:val="22"/>
          <w:szCs w:val="22"/>
        </w:rPr>
      </w:pPr>
      <w:r w:rsidRPr="00B7210A">
        <w:rPr>
          <w:rFonts w:ascii="Serif" w:hAnsi="Serif"/>
          <w:sz w:val="18"/>
          <w:szCs w:val="18"/>
        </w:rPr>
        <w:t>Note: This is an open access article distributed under the terms of the Creative Commons Attribution-</w:t>
      </w:r>
      <w:proofErr w:type="gramStart"/>
      <w:r w:rsidRPr="00B7210A">
        <w:rPr>
          <w:rFonts w:ascii="Serif" w:hAnsi="Serif"/>
          <w:sz w:val="18"/>
          <w:szCs w:val="18"/>
        </w:rPr>
        <w:t>Non Commercial</w:t>
      </w:r>
      <w:proofErr w:type="gramEnd"/>
      <w:r w:rsidRPr="00B7210A">
        <w:rPr>
          <w:rFonts w:ascii="Serif" w:hAnsi="Serif"/>
          <w:sz w:val="18"/>
          <w:szCs w:val="18"/>
        </w:rPr>
        <w:t xml:space="preserve"> (CC BY-NC 4.0) License, which allows </w:t>
      </w:r>
      <w:proofErr w:type="spellStart"/>
      <w:r w:rsidRPr="00B7210A">
        <w:rPr>
          <w:rFonts w:ascii="Serif" w:hAnsi="Serif"/>
          <w:sz w:val="18"/>
          <w:szCs w:val="18"/>
        </w:rPr>
        <w:t>reusers</w:t>
      </w:r>
      <w:proofErr w:type="spellEnd"/>
      <w:r w:rsidRPr="00B7210A">
        <w:rPr>
          <w:rFonts w:ascii="Serif" w:hAnsi="Serif"/>
          <w:sz w:val="18"/>
          <w:szCs w:val="18"/>
        </w:rPr>
        <w:t xml:space="preserve"> to distribute, remix, adapt, and build upon the material in any medium or format for noncommercial use only, and only so long as attribution is given to the creator.</w:t>
      </w:r>
    </w:p>
    <w:p w14:paraId="6162B4A7" w14:textId="77777777" w:rsidR="003E020F" w:rsidRPr="001A0A8F" w:rsidRDefault="003E020F" w:rsidP="00A96227">
      <w:pPr>
        <w:spacing w:before="200" w:after="200"/>
        <w:rPr>
          <w:rFonts w:ascii="Serif" w:hAnsi="Serif"/>
          <w:sz w:val="22"/>
          <w:szCs w:val="22"/>
        </w:rPr>
      </w:pPr>
    </w:p>
    <w:p w14:paraId="22B946E8" w14:textId="77777777" w:rsidR="003E020F" w:rsidRPr="001A0A8F" w:rsidRDefault="003E020F" w:rsidP="00A96227">
      <w:pPr>
        <w:spacing w:before="200" w:after="200"/>
        <w:rPr>
          <w:rFonts w:ascii="Serif" w:hAnsi="Serif"/>
          <w:sz w:val="22"/>
          <w:szCs w:val="22"/>
        </w:rPr>
      </w:pPr>
    </w:p>
    <w:p w14:paraId="0B6201B9" w14:textId="77777777" w:rsidR="000B7DEE" w:rsidRPr="001A0A8F" w:rsidRDefault="000B7DEE" w:rsidP="00A96227">
      <w:pPr>
        <w:spacing w:before="200" w:after="200"/>
        <w:rPr>
          <w:rFonts w:ascii="Serif" w:hAnsi="Serif"/>
          <w:sz w:val="22"/>
          <w:szCs w:val="22"/>
        </w:rPr>
      </w:pPr>
    </w:p>
    <w:sectPr w:rsidR="000B7DEE" w:rsidRPr="001A0A8F" w:rsidSect="003E020F">
      <w:headerReference w:type="even" r:id="rId11"/>
      <w:headerReference w:type="default" r:id="rId12"/>
      <w:footerReference w:type="default" r:id="rId13"/>
      <w:headerReference w:type="first" r:id="rId14"/>
      <w:pgSz w:w="11907" w:h="16839" w:code="9"/>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9A402" w14:textId="77777777" w:rsidR="006860DA" w:rsidRDefault="006860DA" w:rsidP="003B312A">
      <w:pPr>
        <w:spacing w:after="0" w:line="240" w:lineRule="auto"/>
      </w:pPr>
      <w:r>
        <w:separator/>
      </w:r>
    </w:p>
  </w:endnote>
  <w:endnote w:type="continuationSeparator" w:id="0">
    <w:p w14:paraId="247D79DD" w14:textId="77777777" w:rsidR="006860DA" w:rsidRDefault="006860DA" w:rsidP="003B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Merriweather">
    <w:charset w:val="00"/>
    <w:family w:val="auto"/>
    <w:pitch w:val="variable"/>
    <w:sig w:usb0="20000207" w:usb1="00000002" w:usb2="00000000" w:usb3="00000000" w:csb0="00000197" w:csb1="00000000"/>
  </w:font>
  <w:font w:name="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F703" w14:textId="48E589DB" w:rsidR="001608C2" w:rsidRPr="001608C2" w:rsidRDefault="001C7EA9" w:rsidP="001C7EA9">
    <w:pPr>
      <w:pStyle w:val="Footer"/>
      <w:pBdr>
        <w:top w:val="single" w:sz="4" w:space="1" w:color="D9D9D9" w:themeColor="background1" w:themeShade="D9"/>
      </w:pBdr>
      <w:tabs>
        <w:tab w:val="left" w:pos="8647"/>
      </w:tabs>
      <w:rPr>
        <w:rFonts w:ascii="Times New Roman" w:hAnsi="Times New Roman" w:cs="Times New Roman"/>
        <w:sz w:val="20"/>
        <w:szCs w:val="20"/>
      </w:rPr>
    </w:pPr>
    <w:hyperlink r:id="rId1" w:history="1">
      <w:r w:rsidRPr="001C7EA9">
        <w:rPr>
          <w:rStyle w:val="Hyperlink"/>
          <w:rFonts w:ascii="Times New Roman" w:hAnsi="Times New Roman" w:cs="Times New Roman"/>
          <w:sz w:val="20"/>
          <w:szCs w:val="20"/>
          <w:u w:val="none"/>
        </w:rPr>
        <w:t>https://scripthive.org/SGMRJ.html</w:t>
      </w:r>
    </w:hyperlink>
    <w:r>
      <w:rPr>
        <w:rFonts w:ascii="Times New Roman" w:hAnsi="Times New Roman" w:cs="Times New Roman"/>
        <w:sz w:val="20"/>
        <w:szCs w:val="20"/>
      </w:rPr>
      <w:tab/>
    </w:r>
    <w:r>
      <w:rPr>
        <w:rFonts w:ascii="Times New Roman" w:hAnsi="Times New Roman" w:cs="Times New Roman"/>
        <w:sz w:val="20"/>
        <w:szCs w:val="20"/>
      </w:rPr>
      <w:tab/>
    </w:r>
    <w:r w:rsidRPr="007855D9">
      <w:rPr>
        <w:rFonts w:ascii="Times New Roman" w:hAnsi="Times New Roman" w:cs="Times New Roman"/>
        <w:b/>
        <w:bCs/>
        <w:sz w:val="20"/>
        <w:szCs w:val="20"/>
      </w:rPr>
      <w:t xml:space="preserve"> </w:t>
    </w:r>
    <w:sdt>
      <w:sdtPr>
        <w:rPr>
          <w:rFonts w:ascii="Times New Roman" w:hAnsi="Times New Roman" w:cs="Times New Roman"/>
          <w:b/>
          <w:bCs/>
          <w:sz w:val="20"/>
          <w:szCs w:val="20"/>
        </w:rPr>
        <w:id w:val="2089040762"/>
        <w:docPartObj>
          <w:docPartGallery w:val="Page Numbers (Bottom of Page)"/>
          <w:docPartUnique/>
        </w:docPartObj>
      </w:sdtPr>
      <w:sdtEndPr>
        <w:rPr>
          <w:color w:val="7F7F7F" w:themeColor="background1" w:themeShade="7F"/>
          <w:spacing w:val="60"/>
        </w:rPr>
      </w:sdtEndPr>
      <w:sdtContent>
        <w:r w:rsidR="001608C2" w:rsidRPr="007855D9">
          <w:rPr>
            <w:rFonts w:ascii="Times New Roman" w:hAnsi="Times New Roman" w:cs="Times New Roman"/>
            <w:b/>
            <w:bCs/>
            <w:sz w:val="20"/>
            <w:szCs w:val="20"/>
          </w:rPr>
          <w:fldChar w:fldCharType="begin"/>
        </w:r>
        <w:r w:rsidR="001608C2" w:rsidRPr="007855D9">
          <w:rPr>
            <w:rFonts w:ascii="Times New Roman" w:hAnsi="Times New Roman" w:cs="Times New Roman"/>
            <w:b/>
            <w:bCs/>
            <w:sz w:val="20"/>
            <w:szCs w:val="20"/>
          </w:rPr>
          <w:instrText xml:space="preserve"> PAGE   \* MERGEFORMAT </w:instrText>
        </w:r>
        <w:r w:rsidR="001608C2" w:rsidRPr="007855D9">
          <w:rPr>
            <w:rFonts w:ascii="Times New Roman" w:hAnsi="Times New Roman" w:cs="Times New Roman"/>
            <w:b/>
            <w:bCs/>
            <w:sz w:val="20"/>
            <w:szCs w:val="20"/>
          </w:rPr>
          <w:fldChar w:fldCharType="separate"/>
        </w:r>
        <w:r w:rsidR="001608C2" w:rsidRPr="007855D9">
          <w:rPr>
            <w:rFonts w:ascii="Times New Roman" w:hAnsi="Times New Roman" w:cs="Times New Roman"/>
            <w:b/>
            <w:bCs/>
            <w:noProof/>
            <w:sz w:val="20"/>
            <w:szCs w:val="20"/>
          </w:rPr>
          <w:t>2</w:t>
        </w:r>
        <w:r w:rsidR="001608C2" w:rsidRPr="007855D9">
          <w:rPr>
            <w:rFonts w:ascii="Times New Roman" w:hAnsi="Times New Roman" w:cs="Times New Roman"/>
            <w:b/>
            <w:bCs/>
            <w:noProof/>
            <w:sz w:val="20"/>
            <w:szCs w:val="20"/>
          </w:rPr>
          <w:fldChar w:fldCharType="end"/>
        </w:r>
        <w:r w:rsidR="001608C2" w:rsidRPr="007855D9">
          <w:rPr>
            <w:rFonts w:ascii="Times New Roman" w:hAnsi="Times New Roman" w:cs="Times New Roman"/>
            <w:b/>
            <w:bCs/>
            <w:sz w:val="20"/>
            <w:szCs w:val="20"/>
          </w:rPr>
          <w:t xml:space="preserve"> | </w:t>
        </w:r>
        <w:r w:rsidR="001608C2" w:rsidRPr="007855D9">
          <w:rPr>
            <w:rFonts w:ascii="Times New Roman" w:hAnsi="Times New Roman" w:cs="Times New Roman"/>
            <w:b/>
            <w:bCs/>
            <w:color w:val="7F7F7F" w:themeColor="background1" w:themeShade="7F"/>
            <w:spacing w:val="60"/>
            <w:sz w:val="20"/>
            <w:szCs w:val="2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700E7" w14:textId="77777777" w:rsidR="006860DA" w:rsidRDefault="006860DA" w:rsidP="003B312A">
      <w:pPr>
        <w:spacing w:after="0" w:line="240" w:lineRule="auto"/>
      </w:pPr>
      <w:r>
        <w:separator/>
      </w:r>
    </w:p>
  </w:footnote>
  <w:footnote w:type="continuationSeparator" w:id="0">
    <w:p w14:paraId="34281E1D" w14:textId="77777777" w:rsidR="006860DA" w:rsidRDefault="006860DA" w:rsidP="003B3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4802" w14:textId="0295B796" w:rsidR="005A3D1E" w:rsidRDefault="00000000">
    <w:pPr>
      <w:pStyle w:val="Header"/>
    </w:pPr>
    <w:r>
      <w:rPr>
        <w:noProof/>
      </w:rPr>
      <w:pict w14:anchorId="44B0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7" o:spid="_x0000_s1026" type="#_x0000_t75" style="position:absolute;left:0;text-align:left;margin-left:0;margin-top:0;width:481.5pt;height:681.0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3E49" w14:textId="47BAFA6E" w:rsidR="003B312A" w:rsidRPr="00736CCB" w:rsidRDefault="00000000" w:rsidP="001608C2">
    <w:pPr>
      <w:pStyle w:val="Header"/>
      <w:tabs>
        <w:tab w:val="left" w:pos="2617"/>
        <w:tab w:val="right" w:pos="9639"/>
      </w:tabs>
      <w:jc w:val="right"/>
      <w:rPr>
        <w:rFonts w:ascii="Lora" w:hAnsi="Lora" w:cs="Arial"/>
        <w:b/>
        <w:bCs/>
        <w:sz w:val="18"/>
        <w:szCs w:val="18"/>
      </w:rPr>
    </w:pPr>
    <w:r>
      <w:rPr>
        <w:rFonts w:ascii="Lora" w:hAnsi="Lora" w:cs="Arial"/>
        <w:b/>
        <w:bCs/>
        <w:noProof/>
        <w:sz w:val="20"/>
        <w:szCs w:val="20"/>
      </w:rPr>
      <w:pict w14:anchorId="6B261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8" o:spid="_x0000_s1027" type="#_x0000_t75" style="position:absolute;left:0;text-align:left;margin-left:0;margin-top:0;width:481.5pt;height:681.05pt;z-index:-251656192;mso-position-horizontal:center;mso-position-horizontal-relative:margin;mso-position-vertical:center;mso-position-vertical-relative:margin" o:allowincell="f">
          <v:imagedata r:id="rId1" o:title="Watermark" gain="19661f" blacklevel="22938f"/>
          <w10:wrap anchorx="margin" anchory="margin"/>
        </v:shape>
      </w:pict>
    </w:r>
    <w:r w:rsidR="001608C2">
      <w:rPr>
        <w:rFonts w:ascii="Lora" w:hAnsi="Lora" w:cs="Arial"/>
        <w:b/>
        <w:bCs/>
        <w:sz w:val="20"/>
        <w:szCs w:val="20"/>
      </w:rPr>
      <w:tab/>
    </w:r>
    <w:r w:rsidR="001608C2">
      <w:rPr>
        <w:rFonts w:ascii="Lora" w:hAnsi="Lora" w:cs="Arial"/>
        <w:b/>
        <w:bCs/>
        <w:sz w:val="20"/>
        <w:szCs w:val="20"/>
      </w:rPr>
      <w:tab/>
    </w:r>
    <w:proofErr w:type="spellStart"/>
    <w:r w:rsidR="003B312A" w:rsidRPr="00736CCB">
      <w:rPr>
        <w:rFonts w:ascii="Lora" w:hAnsi="Lora" w:cs="Arial"/>
        <w:b/>
        <w:bCs/>
        <w:sz w:val="18"/>
        <w:szCs w:val="18"/>
      </w:rPr>
      <w:t>ScriptHive</w:t>
    </w:r>
    <w:proofErr w:type="spellEnd"/>
    <w:r w:rsidR="003B312A" w:rsidRPr="00736CCB">
      <w:rPr>
        <w:rFonts w:ascii="Lora" w:hAnsi="Lora" w:cs="Arial"/>
        <w:b/>
        <w:bCs/>
        <w:sz w:val="18"/>
        <w:szCs w:val="18"/>
      </w:rPr>
      <w:t xml:space="preserve"> Global Multidisciplinary Research Journal</w:t>
    </w:r>
  </w:p>
  <w:p w14:paraId="3CC9B063" w14:textId="3B62F887" w:rsidR="003B312A" w:rsidRPr="00736CCB" w:rsidRDefault="003B312A" w:rsidP="001608C2">
    <w:pPr>
      <w:pStyle w:val="Header"/>
      <w:tabs>
        <w:tab w:val="left" w:pos="6428"/>
        <w:tab w:val="right" w:pos="9639"/>
      </w:tabs>
      <w:jc w:val="right"/>
      <w:rPr>
        <w:rFonts w:ascii="Lora" w:hAnsi="Lora" w:cs="Arial"/>
        <w:sz w:val="18"/>
        <w:szCs w:val="18"/>
      </w:rPr>
    </w:pPr>
    <w:r w:rsidRPr="00736CCB">
      <w:rPr>
        <w:rFonts w:ascii="Lora" w:hAnsi="Lora" w:cs="Arial"/>
        <w:sz w:val="18"/>
        <w:szCs w:val="18"/>
      </w:rPr>
      <w:t>DOI: 10.37515/ortho.8231.43xx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6A5E" w14:textId="009C6A76" w:rsidR="005A3D1E" w:rsidRDefault="00000000">
    <w:pPr>
      <w:pStyle w:val="Header"/>
    </w:pPr>
    <w:r>
      <w:rPr>
        <w:noProof/>
      </w:rPr>
      <w:pict w14:anchorId="0BACE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6" o:spid="_x0000_s1025" type="#_x0000_t75" style="position:absolute;left:0;text-align:left;margin-left:0;margin-top:0;width:481.5pt;height:681.0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502"/>
    <w:multiLevelType w:val="hybridMultilevel"/>
    <w:tmpl w:val="AF747C18"/>
    <w:lvl w:ilvl="0" w:tplc="4A0E93C4">
      <w:start w:val="1"/>
      <w:numFmt w:val="decimal"/>
      <w:lvlText w:val="%1."/>
      <w:lvlJc w:val="left"/>
      <w:pPr>
        <w:ind w:left="360" w:hanging="360"/>
      </w:pPr>
      <w:rPr>
        <w:b/>
        <w:bCs/>
        <w:vertAlign w:val="superscrip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EE53428"/>
    <w:multiLevelType w:val="hybridMultilevel"/>
    <w:tmpl w:val="2B90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0F5612"/>
    <w:multiLevelType w:val="hybridMultilevel"/>
    <w:tmpl w:val="CB58908A"/>
    <w:lvl w:ilvl="0" w:tplc="A3DCAF9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8890337">
    <w:abstractNumId w:val="1"/>
  </w:num>
  <w:num w:numId="2" w16cid:durableId="1700736478">
    <w:abstractNumId w:val="2"/>
  </w:num>
  <w:num w:numId="3" w16cid:durableId="75058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0F"/>
    <w:rsid w:val="000035A7"/>
    <w:rsid w:val="000B7DEE"/>
    <w:rsid w:val="000F0553"/>
    <w:rsid w:val="000F2B22"/>
    <w:rsid w:val="001454A4"/>
    <w:rsid w:val="001608C2"/>
    <w:rsid w:val="001725B9"/>
    <w:rsid w:val="0018496B"/>
    <w:rsid w:val="001A0A8F"/>
    <w:rsid w:val="001B2897"/>
    <w:rsid w:val="001C7EA9"/>
    <w:rsid w:val="001E7CF8"/>
    <w:rsid w:val="00262FDF"/>
    <w:rsid w:val="00263000"/>
    <w:rsid w:val="002957CF"/>
    <w:rsid w:val="002C06E4"/>
    <w:rsid w:val="002D154B"/>
    <w:rsid w:val="0033164B"/>
    <w:rsid w:val="00375226"/>
    <w:rsid w:val="003B312A"/>
    <w:rsid w:val="003E020F"/>
    <w:rsid w:val="003E54D0"/>
    <w:rsid w:val="004A0021"/>
    <w:rsid w:val="005A3D1E"/>
    <w:rsid w:val="00653B9D"/>
    <w:rsid w:val="00667303"/>
    <w:rsid w:val="006860DA"/>
    <w:rsid w:val="00692507"/>
    <w:rsid w:val="007079EA"/>
    <w:rsid w:val="00736CCB"/>
    <w:rsid w:val="00771E21"/>
    <w:rsid w:val="007855D9"/>
    <w:rsid w:val="007918CA"/>
    <w:rsid w:val="008B5843"/>
    <w:rsid w:val="00A96227"/>
    <w:rsid w:val="00AA0967"/>
    <w:rsid w:val="00AA5801"/>
    <w:rsid w:val="00AC26DE"/>
    <w:rsid w:val="00AE370F"/>
    <w:rsid w:val="00AE67AE"/>
    <w:rsid w:val="00AF660E"/>
    <w:rsid w:val="00B7210A"/>
    <w:rsid w:val="00B96BF1"/>
    <w:rsid w:val="00C56352"/>
    <w:rsid w:val="00C85B18"/>
    <w:rsid w:val="00CC1F26"/>
    <w:rsid w:val="00CD0BAF"/>
    <w:rsid w:val="00D16DCF"/>
    <w:rsid w:val="00D51400"/>
    <w:rsid w:val="00E505E0"/>
    <w:rsid w:val="00E57DB5"/>
    <w:rsid w:val="00E64B42"/>
    <w:rsid w:val="00FC0A01"/>
    <w:rsid w:val="00FC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65D91"/>
  <w15:chartTrackingRefBased/>
  <w15:docId w15:val="{F87AAC86-99C0-4DAF-AB83-C1505AC7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226"/>
  </w:style>
  <w:style w:type="paragraph" w:styleId="Heading1">
    <w:name w:val="heading 1"/>
    <w:basedOn w:val="Normal"/>
    <w:next w:val="Normal"/>
    <w:link w:val="Heading1Char"/>
    <w:uiPriority w:val="9"/>
    <w:qFormat/>
    <w:rsid w:val="003E02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02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02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02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02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02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02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02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02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0F"/>
    <w:rPr>
      <w:rFonts w:eastAsiaTheme="majorEastAsia" w:cstheme="majorBidi"/>
      <w:color w:val="272727" w:themeColor="text1" w:themeTint="D8"/>
    </w:rPr>
  </w:style>
  <w:style w:type="paragraph" w:styleId="Title">
    <w:name w:val="Title"/>
    <w:basedOn w:val="Normal"/>
    <w:next w:val="Normal"/>
    <w:link w:val="TitleChar"/>
    <w:uiPriority w:val="10"/>
    <w:qFormat/>
    <w:rsid w:val="003E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0F"/>
    <w:pPr>
      <w:spacing w:before="160"/>
      <w:jc w:val="center"/>
    </w:pPr>
    <w:rPr>
      <w:i/>
      <w:iCs/>
      <w:color w:val="404040" w:themeColor="text1" w:themeTint="BF"/>
    </w:rPr>
  </w:style>
  <w:style w:type="character" w:customStyle="1" w:styleId="QuoteChar">
    <w:name w:val="Quote Char"/>
    <w:basedOn w:val="DefaultParagraphFont"/>
    <w:link w:val="Quote"/>
    <w:uiPriority w:val="29"/>
    <w:rsid w:val="003E020F"/>
    <w:rPr>
      <w:i/>
      <w:iCs/>
      <w:color w:val="404040" w:themeColor="text1" w:themeTint="BF"/>
    </w:rPr>
  </w:style>
  <w:style w:type="paragraph" w:styleId="ListParagraph">
    <w:name w:val="List Paragraph"/>
    <w:basedOn w:val="Normal"/>
    <w:uiPriority w:val="34"/>
    <w:qFormat/>
    <w:rsid w:val="003E020F"/>
    <w:pPr>
      <w:ind w:left="720"/>
      <w:contextualSpacing/>
    </w:pPr>
  </w:style>
  <w:style w:type="character" w:styleId="IntenseEmphasis">
    <w:name w:val="Intense Emphasis"/>
    <w:basedOn w:val="DefaultParagraphFont"/>
    <w:uiPriority w:val="21"/>
    <w:qFormat/>
    <w:rsid w:val="003E020F"/>
    <w:rPr>
      <w:i/>
      <w:iCs/>
      <w:color w:val="2E74B5" w:themeColor="accent1" w:themeShade="BF"/>
    </w:rPr>
  </w:style>
  <w:style w:type="paragraph" w:styleId="IntenseQuote">
    <w:name w:val="Intense Quote"/>
    <w:basedOn w:val="Normal"/>
    <w:next w:val="Normal"/>
    <w:link w:val="IntenseQuoteChar"/>
    <w:uiPriority w:val="30"/>
    <w:qFormat/>
    <w:rsid w:val="00E64B42"/>
    <w:pPr>
      <w:pBdr>
        <w:top w:val="single" w:sz="4" w:space="10" w:color="2E74B5" w:themeColor="accent1" w:themeShade="BF"/>
        <w:bottom w:val="single" w:sz="4" w:space="10" w:color="2E74B5" w:themeColor="accent1" w:themeShade="BF"/>
      </w:pBdr>
      <w:spacing w:before="360" w:after="360"/>
      <w:ind w:left="864" w:right="864"/>
      <w:jc w:val="center"/>
    </w:pPr>
    <w:rPr>
      <w:i/>
      <w:iCs/>
      <w:color w:val="27467D"/>
    </w:rPr>
  </w:style>
  <w:style w:type="character" w:customStyle="1" w:styleId="IntenseQuoteChar">
    <w:name w:val="Intense Quote Char"/>
    <w:basedOn w:val="DefaultParagraphFont"/>
    <w:link w:val="IntenseQuote"/>
    <w:uiPriority w:val="30"/>
    <w:rsid w:val="00E64B42"/>
    <w:rPr>
      <w:i/>
      <w:iCs/>
      <w:color w:val="27467D"/>
    </w:rPr>
  </w:style>
  <w:style w:type="character" w:styleId="IntenseReference">
    <w:name w:val="Intense Reference"/>
    <w:basedOn w:val="DefaultParagraphFont"/>
    <w:uiPriority w:val="32"/>
    <w:qFormat/>
    <w:rsid w:val="003E020F"/>
    <w:rPr>
      <w:b/>
      <w:bCs/>
      <w:smallCaps/>
      <w:color w:val="2E74B5" w:themeColor="accent1" w:themeShade="BF"/>
      <w:spacing w:val="5"/>
    </w:rPr>
  </w:style>
  <w:style w:type="paragraph" w:styleId="Header">
    <w:name w:val="header"/>
    <w:basedOn w:val="Normal"/>
    <w:link w:val="HeaderChar"/>
    <w:uiPriority w:val="99"/>
    <w:unhideWhenUsed/>
    <w:rsid w:val="003B3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12A"/>
  </w:style>
  <w:style w:type="paragraph" w:styleId="Footer">
    <w:name w:val="footer"/>
    <w:basedOn w:val="Normal"/>
    <w:link w:val="FooterChar"/>
    <w:uiPriority w:val="99"/>
    <w:unhideWhenUsed/>
    <w:rsid w:val="003B3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12A"/>
  </w:style>
  <w:style w:type="paragraph" w:customStyle="1" w:styleId="Tit">
    <w:name w:val="Tit"/>
    <w:basedOn w:val="Normal"/>
    <w:rsid w:val="002C06E4"/>
    <w:pPr>
      <w:pBdr>
        <w:bottom w:val="single" w:sz="6" w:space="2" w:color="auto"/>
      </w:pBdr>
      <w:shd w:val="pct5" w:color="auto" w:fill="auto"/>
      <w:autoSpaceDE w:val="0"/>
      <w:autoSpaceDN w:val="0"/>
      <w:spacing w:after="120" w:line="240" w:lineRule="auto"/>
      <w:ind w:left="851" w:hanging="851"/>
      <w:jc w:val="left"/>
    </w:pPr>
    <w:rPr>
      <w:rFonts w:ascii="Lora" w:eastAsia="SimSun" w:hAnsi="Lora" w:cs="Times New Roman"/>
      <w:b/>
      <w:bCs/>
      <w:kern w:val="0"/>
      <w14:ligatures w14:val="none"/>
    </w:rPr>
  </w:style>
  <w:style w:type="character" w:styleId="Hyperlink">
    <w:name w:val="Hyperlink"/>
    <w:basedOn w:val="DefaultParagraphFont"/>
    <w:uiPriority w:val="99"/>
    <w:unhideWhenUsed/>
    <w:rsid w:val="001C7EA9"/>
    <w:rPr>
      <w:color w:val="0563C1" w:themeColor="hyperlink"/>
      <w:u w:val="single"/>
    </w:rPr>
  </w:style>
  <w:style w:type="character" w:styleId="UnresolvedMention">
    <w:name w:val="Unresolved Mention"/>
    <w:basedOn w:val="DefaultParagraphFont"/>
    <w:uiPriority w:val="99"/>
    <w:semiHidden/>
    <w:unhideWhenUsed/>
    <w:rsid w:val="001C7EA9"/>
    <w:rPr>
      <w:color w:val="605E5C"/>
      <w:shd w:val="clear" w:color="auto" w:fill="E1DFDD"/>
    </w:rPr>
  </w:style>
  <w:style w:type="paragraph" w:styleId="NoSpacing">
    <w:name w:val="No Spacing"/>
    <w:link w:val="NoSpacingChar"/>
    <w:uiPriority w:val="1"/>
    <w:qFormat/>
    <w:rsid w:val="00C56352"/>
    <w:pPr>
      <w:spacing w:after="0" w:line="240" w:lineRule="auto"/>
    </w:pPr>
  </w:style>
  <w:style w:type="character" w:customStyle="1" w:styleId="NoSpacingChar">
    <w:name w:val="No Spacing Char"/>
    <w:basedOn w:val="DefaultParagraphFont"/>
    <w:link w:val="NoSpacing"/>
    <w:uiPriority w:val="1"/>
    <w:rsid w:val="00C56352"/>
  </w:style>
  <w:style w:type="character" w:styleId="Strong">
    <w:name w:val="Strong"/>
    <w:basedOn w:val="DefaultParagraphFont"/>
    <w:uiPriority w:val="22"/>
    <w:qFormat/>
    <w:rsid w:val="003E5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scripthive.org/SGMRJ.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C413F-32E5-4ACC-879D-CBE3537AF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5</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Singh</dc:creator>
  <cp:keywords/>
  <dc:description/>
  <cp:lastModifiedBy>Rajiv Singh</cp:lastModifiedBy>
  <cp:revision>25</cp:revision>
  <dcterms:created xsi:type="dcterms:W3CDTF">2026-04-23T10:55:00Z</dcterms:created>
  <dcterms:modified xsi:type="dcterms:W3CDTF">2026-04-24T05:04:00Z</dcterms:modified>
</cp:coreProperties>
</file>