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22A9" w14:textId="11D3663B" w:rsidR="0017752D" w:rsidRDefault="00EF3A6B" w:rsidP="00EF3A6B">
      <w:pPr>
        <w:spacing w:before="1440" w:after="200"/>
        <w:jc w:val="center"/>
      </w:pPr>
      <w:r>
        <w:rPr>
          <w:b/>
          <w:bCs/>
          <w:color w:val="1B3B5F"/>
          <w:sz w:val="72"/>
          <w:szCs w:val="72"/>
        </w:rPr>
        <w:t>TBD2</w:t>
      </w:r>
    </w:p>
    <w:p w14:paraId="20A0B3F8" w14:textId="77777777" w:rsidR="0017752D" w:rsidRDefault="00000000" w:rsidP="00EF3A6B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Enterprise Risk Monitoring Platform</w:t>
      </w:r>
    </w:p>
    <w:p w14:paraId="5024ED43" w14:textId="77777777" w:rsidR="0017752D" w:rsidRDefault="00000000" w:rsidP="00EF3A6B">
      <w:pPr>
        <w:spacing w:after="120"/>
        <w:jc w:val="center"/>
      </w:pPr>
      <w:r>
        <w:rPr>
          <w:color w:val="555555"/>
          <w:sz w:val="26"/>
          <w:szCs w:val="26"/>
        </w:rPr>
        <w:t>Strategic Analysis &amp; Technical Validation Report</w:t>
      </w:r>
    </w:p>
    <w:p w14:paraId="33AEF7B6" w14:textId="77777777" w:rsidR="0017752D" w:rsidRDefault="0017752D" w:rsidP="00EF3A6B">
      <w:pPr>
        <w:pBdr>
          <w:bottom w:val="single" w:sz="8" w:space="4" w:color="00B4CC"/>
        </w:pBdr>
        <w:spacing w:before="300" w:after="120"/>
        <w:jc w:val="center"/>
      </w:pPr>
    </w:p>
    <w:p w14:paraId="5A61C8D3" w14:textId="77777777" w:rsidR="0017752D" w:rsidRDefault="00000000" w:rsidP="00EF3A6B">
      <w:pPr>
        <w:spacing w:before="200" w:after="80"/>
        <w:jc w:val="center"/>
      </w:pPr>
      <w:r>
        <w:rPr>
          <w:b/>
          <w:bCs/>
          <w:color w:val="A93226"/>
        </w:rPr>
        <w:t>CONFIDENTIAL — INTERNAL USE ONLY</w:t>
      </w:r>
    </w:p>
    <w:p w14:paraId="746219F8" w14:textId="77777777" w:rsidR="0017752D" w:rsidRDefault="00000000" w:rsidP="00EF3A6B">
      <w:pPr>
        <w:spacing w:before="80" w:after="80"/>
        <w:jc w:val="center"/>
      </w:pPr>
      <w:r>
        <w:rPr>
          <w:color w:val="555555"/>
          <w:sz w:val="20"/>
          <w:szCs w:val="20"/>
        </w:rPr>
        <w:t>Prepared by: Senior Product Analyst</w:t>
      </w:r>
    </w:p>
    <w:p w14:paraId="728B3EB2" w14:textId="15D51782" w:rsidR="0017752D" w:rsidRDefault="00000000" w:rsidP="00EF3A6B">
      <w:pPr>
        <w:spacing w:before="40" w:after="80"/>
        <w:jc w:val="center"/>
      </w:pPr>
      <w:r>
        <w:rPr>
          <w:color w:val="555555"/>
          <w:sz w:val="20"/>
          <w:szCs w:val="20"/>
        </w:rPr>
        <w:t xml:space="preserve">April </w:t>
      </w:r>
      <w:r w:rsidR="00AB28AA">
        <w:rPr>
          <w:color w:val="555555"/>
          <w:sz w:val="20"/>
          <w:szCs w:val="20"/>
        </w:rPr>
        <w:t>2026 | Version</w:t>
      </w:r>
      <w:r>
        <w:rPr>
          <w:color w:val="555555"/>
          <w:sz w:val="20"/>
          <w:szCs w:val="20"/>
        </w:rPr>
        <w:t xml:space="preserve"> 1.0</w:t>
      </w:r>
    </w:p>
    <w:p w14:paraId="62F11964" w14:textId="073F0C43" w:rsidR="0017752D" w:rsidRDefault="00000000" w:rsidP="00EF3A6B">
      <w:pPr>
        <w:spacing w:before="40" w:after="80"/>
        <w:jc w:val="center"/>
      </w:pPr>
      <w:r>
        <w:rPr>
          <w:color w:val="555555"/>
          <w:sz w:val="20"/>
          <w:szCs w:val="20"/>
        </w:rPr>
        <w:t xml:space="preserve">Audience: </w:t>
      </w:r>
      <w:r w:rsidR="00EF3A6B">
        <w:rPr>
          <w:color w:val="555555"/>
          <w:sz w:val="20"/>
          <w:szCs w:val="20"/>
        </w:rPr>
        <w:t>Team</w:t>
      </w:r>
    </w:p>
    <w:p w14:paraId="5667EC5D" w14:textId="77777777" w:rsidR="0017752D" w:rsidRDefault="00000000" w:rsidP="00EF3A6B">
      <w:pPr>
        <w:jc w:val="center"/>
      </w:pPr>
      <w:r>
        <w:br w:type="page"/>
      </w:r>
    </w:p>
    <w:p w14:paraId="6BE3A039" w14:textId="77777777" w:rsidR="0017752D" w:rsidRDefault="00000000" w:rsidP="00EF3A6B">
      <w:pPr>
        <w:pStyle w:val="Heading1"/>
        <w:jc w:val="both"/>
      </w:pPr>
      <w:r>
        <w:lastRenderedPageBreak/>
        <w:t>1. Executive Overview</w:t>
      </w:r>
    </w:p>
    <w:p w14:paraId="16868EE4" w14:textId="7777777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This report does three things: </w:t>
      </w:r>
      <w:r>
        <w:rPr>
          <w:color w:val="555555"/>
        </w:rPr>
        <w:t>(1) validates or challenges every technology and architecture choice in the PRD v1.2, line by line, against current research; (2) conducts a full SWOT analysis of the platform and its market position; and (3) identifies the most commercially valuable customer segments with evidence-based sizing. Every claim is sourced.</w:t>
      </w:r>
    </w:p>
    <w:p w14:paraId="43246EC2" w14:textId="251857F6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Bottom line up front: </w:t>
      </w:r>
      <w:r>
        <w:rPr>
          <w:color w:val="555555"/>
        </w:rPr>
        <w:t>The product concept is strong and well-timed. The ERM market is growing at 14.8% CAGR and is projected to reach $11.97B by 2030. Only 21% of organisations currently use dedicated GRC platforms and 59% still run on spreadsheets</w:t>
      </w:r>
      <w:r w:rsidR="00EF3A6B">
        <w:rPr>
          <w:color w:val="555555"/>
        </w:rPr>
        <w:t>,</w:t>
      </w:r>
      <w:r>
        <w:rPr>
          <w:color w:val="555555"/>
        </w:rPr>
        <w:t xml:space="preserve"> this is a wide-open opportunity. The technology stack chosen in the PRD is largely sound, but three specific decisions need to be revisited before Week 1 coding begins: the choice of React SPA over Next.js, the use of Django as a co-equal option alongside FastAPI, and the lack of a real-time push mechanism. These are detailed below.</w:t>
      </w:r>
    </w:p>
    <w:p w14:paraId="67B9EF93" w14:textId="77777777" w:rsidR="0017752D" w:rsidRDefault="0017752D" w:rsidP="00EF3A6B">
      <w:pPr>
        <w:spacing w:before="60" w:after="60"/>
        <w:jc w:val="both"/>
      </w:pPr>
    </w:p>
    <w:p w14:paraId="6328D835" w14:textId="77777777" w:rsidR="0017752D" w:rsidRDefault="00000000" w:rsidP="00EF3A6B">
      <w:pPr>
        <w:pStyle w:val="Heading1"/>
        <w:jc w:val="both"/>
      </w:pPr>
      <w:r>
        <w:t>2. Market Context &amp; Opportunity</w:t>
      </w:r>
    </w:p>
    <w:p w14:paraId="30FB421F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2.1 Market Size (Verified)</w:t>
      </w:r>
    </w:p>
    <w:p w14:paraId="32246313" w14:textId="77777777" w:rsidR="0017752D" w:rsidRDefault="00000000" w:rsidP="00EF3A6B">
      <w:pPr>
        <w:spacing w:before="80" w:after="120"/>
        <w:jc w:val="both"/>
      </w:pPr>
      <w:r>
        <w:rPr>
          <w:color w:val="555555"/>
        </w:rPr>
        <w:t>Multiple research firms converge on the following picture for the Enterprise Risk Management (ERM) and GRC software market: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2243"/>
        <w:gridCol w:w="2803"/>
        <w:gridCol w:w="1870"/>
      </w:tblGrid>
      <w:tr w:rsidR="0017752D" w14:paraId="564A5395" w14:textId="77777777" w:rsidTr="00EF3A6B">
        <w:tblPrEx>
          <w:tblCellMar>
            <w:top w:w="0" w:type="dxa"/>
            <w:bottom w:w="0" w:type="dxa"/>
          </w:tblCellMar>
        </w:tblPrEx>
        <w:tc>
          <w:tcPr>
            <w:tcW w:w="144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99224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154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8386F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2025 Value</w:t>
            </w:r>
          </w:p>
        </w:tc>
        <w:tc>
          <w:tcPr>
            <w:tcW w:w="144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9CD7F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2030 / 2035 Projection</w:t>
            </w:r>
          </w:p>
        </w:tc>
        <w:tc>
          <w:tcPr>
            <w:tcW w:w="96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D4C71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</w:tr>
      <w:tr w:rsidR="0017752D" w14:paraId="6191407A" w14:textId="77777777" w:rsidTr="00EF3A6B">
        <w:tblPrEx>
          <w:tblCellMar>
            <w:top w:w="0" w:type="dxa"/>
            <w:bottom w:w="0" w:type="dxa"/>
          </w:tblCellMar>
        </w:tblPrEx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54E5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MarketsandMarkets (Feb 2026)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C8B26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$6.00B</w:t>
            </w:r>
          </w:p>
        </w:tc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2F55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$11.97B (2030)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BD257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14.8%</w:t>
            </w:r>
          </w:p>
        </w:tc>
      </w:tr>
      <w:tr w:rsidR="0017752D" w14:paraId="6BF7680F" w14:textId="77777777" w:rsidTr="00EF3A6B">
        <w:tblPrEx>
          <w:tblCellMar>
            <w:top w:w="0" w:type="dxa"/>
            <w:bottom w:w="0" w:type="dxa"/>
          </w:tblCellMar>
        </w:tblPrEx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3763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Global Growth Insights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BEDE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$5.94B</w:t>
            </w:r>
          </w:p>
        </w:tc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2BEC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$11.21B (2035)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D24B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6.55%</w:t>
            </w:r>
          </w:p>
        </w:tc>
      </w:tr>
      <w:tr w:rsidR="0017752D" w14:paraId="15234A84" w14:textId="77777777" w:rsidTr="00EF3A6B">
        <w:tblPrEx>
          <w:tblCellMar>
            <w:top w:w="0" w:type="dxa"/>
            <w:bottom w:w="0" w:type="dxa"/>
          </w:tblCellMar>
        </w:tblPrEx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FFBE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The Business Research Co.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F17C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$5.17B</w:t>
            </w:r>
          </w:p>
        </w:tc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0A8E8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$7.76B (2030)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C7DD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8.6%</w:t>
            </w:r>
          </w:p>
        </w:tc>
      </w:tr>
      <w:tr w:rsidR="0017752D" w14:paraId="2DE79E2D" w14:textId="77777777" w:rsidTr="00EF3A6B">
        <w:tblPrEx>
          <w:tblCellMar>
            <w:top w:w="0" w:type="dxa"/>
            <w:bottom w:w="0" w:type="dxa"/>
          </w:tblCellMar>
        </w:tblPrEx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E550A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Global Insight Services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1251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$5.60B</w:t>
            </w:r>
          </w:p>
        </w:tc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9CA7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$10.0B (2035)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9E80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5.8%</w:t>
            </w:r>
          </w:p>
        </w:tc>
      </w:tr>
      <w:tr w:rsidR="0017752D" w14:paraId="7F0BCE23" w14:textId="77777777" w:rsidTr="00EF3A6B">
        <w:tblPrEx>
          <w:tblCellMar>
            <w:top w:w="0" w:type="dxa"/>
            <w:bottom w:w="0" w:type="dxa"/>
          </w:tblCellMar>
        </w:tblPrEx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BF65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GRC Software (broader)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576B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$38B (2024)</w:t>
            </w:r>
          </w:p>
        </w:tc>
        <w:tc>
          <w:tcPr>
            <w:tcW w:w="1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7220A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$138B (2030)</w:t>
            </w:r>
          </w:p>
        </w:tc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1CD3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15.4%</w:t>
            </w:r>
          </w:p>
        </w:tc>
      </w:tr>
    </w:tbl>
    <w:p w14:paraId="02F0166B" w14:textId="77777777" w:rsidR="0017752D" w:rsidRDefault="0017752D" w:rsidP="00EF3A6B">
      <w:pPr>
        <w:spacing w:before="60" w:after="60"/>
        <w:jc w:val="both"/>
      </w:pPr>
    </w:p>
    <w:p w14:paraId="1C0A8FFB" w14:textId="1090FA87" w:rsidR="00EC5E44" w:rsidRPr="00AB28AA" w:rsidRDefault="00000000" w:rsidP="00AB28AA">
      <w:pPr>
        <w:spacing w:before="80" w:after="120"/>
        <w:jc w:val="both"/>
      </w:pPr>
      <w:r>
        <w:rPr>
          <w:b/>
          <w:bCs/>
          <w:color w:val="1A1A2E"/>
        </w:rPr>
        <w:t xml:space="preserve">Key insight: </w:t>
      </w:r>
      <w:r>
        <w:rPr>
          <w:color w:val="555555"/>
        </w:rPr>
        <w:t>Even at the conservative end (6.55% CAGR), this is a $10B+ market by 2035. The GRC software segment</w:t>
      </w:r>
      <w:r w:rsidR="00EF3A6B">
        <w:rPr>
          <w:color w:val="555555"/>
        </w:rPr>
        <w:t>,</w:t>
      </w:r>
      <w:r>
        <w:rPr>
          <w:color w:val="555555"/>
        </w:rPr>
        <w:t xml:space="preserve"> which includes this platform</w:t>
      </w:r>
      <w:r w:rsidR="00EF3A6B">
        <w:rPr>
          <w:color w:val="555555"/>
        </w:rPr>
        <w:t>,</w:t>
      </w:r>
      <w:r>
        <w:rPr>
          <w:color w:val="555555"/>
        </w:rPr>
        <w:t xml:space="preserve"> is growing at 15.4% CAGR and is already a $38B market. The AI-specific sub-segment is the fastest growing. Only 6% of organisations currently use AI to assist in identifying risks (IIA 2025 Enhanced ERM Study). This platform is entering at the inflection point.</w:t>
      </w:r>
    </w:p>
    <w:p w14:paraId="6CC85DD8" w14:textId="77777777" w:rsidR="00AB28AA" w:rsidRDefault="00AB28AA">
      <w:pPr>
        <w:rPr>
          <w:b/>
          <w:bCs/>
          <w:color w:val="1B3B5F"/>
          <w:sz w:val="30"/>
          <w:szCs w:val="30"/>
        </w:rPr>
      </w:pPr>
      <w:r>
        <w:rPr>
          <w:color w:val="1B3B5F"/>
        </w:rPr>
        <w:br w:type="page"/>
      </w:r>
    </w:p>
    <w:p w14:paraId="339E9E13" w14:textId="24E7D44D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lastRenderedPageBreak/>
        <w:t>2.2 Market Dynamics &amp; Tailwinds</w:t>
      </w:r>
    </w:p>
    <w:p w14:paraId="67230123" w14:textId="06CC0737" w:rsidR="0017752D" w:rsidRDefault="00000000" w:rsidP="00EF3A6B">
      <w:pPr>
        <w:spacing w:before="80" w:after="120"/>
        <w:jc w:val="both"/>
      </w:pPr>
      <w:r>
        <w:rPr>
          <w:color w:val="555555"/>
        </w:rPr>
        <w:t xml:space="preserve">The following structural drivers are confirmed by multiple research sources and directly support the </w:t>
      </w:r>
      <w:r w:rsidR="00EF3A6B">
        <w:rPr>
          <w:color w:val="555555"/>
        </w:rPr>
        <w:t>TBD2</w:t>
      </w:r>
      <w:r>
        <w:rPr>
          <w:color w:val="555555"/>
        </w:rPr>
        <w:t xml:space="preserve"> product thesis:</w:t>
      </w:r>
    </w:p>
    <w:p w14:paraId="44EF8B6F" w14:textId="4ABA8E50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67% of enterprises are adopting AI analytics in ERM</w:t>
      </w:r>
      <w:r w:rsidR="00EF3A6B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demand exists and is accelerating</w:t>
      </w:r>
    </w:p>
    <w:p w14:paraId="34C4F47F" w14:textId="3A25753E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59% of organisations still manage ERM on spreadsheets</w:t>
      </w:r>
      <w:r w:rsidR="00EF3A6B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the displacement opportunity is enormous</w:t>
      </w:r>
    </w:p>
    <w:p w14:paraId="02E47772" w14:textId="5FF01C2D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Only 21% have implemented dedicated GRC platforms</w:t>
      </w:r>
      <w:r w:rsidR="00EF3A6B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the market is underpenetrated</w:t>
      </w:r>
    </w:p>
    <w:p w14:paraId="11C6F296" w14:textId="7777777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74% of organisations are actively investing in AI/GenAI capabilities (Deloitte 2025)</w:t>
      </w:r>
    </w:p>
    <w:p w14:paraId="18551161" w14:textId="0B133AED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72% report increased exposure to operational and cyber risks</w:t>
      </w:r>
      <w:r w:rsidR="00EF3A6B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urgency is high</w:t>
      </w:r>
    </w:p>
    <w:p w14:paraId="12887927" w14:textId="7777777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EU AI Act (phased in from August 2025) is creating mandatory AI governance requirements</w:t>
      </w:r>
    </w:p>
    <w:p w14:paraId="189C8884" w14:textId="79CE66AD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Agentic AI risk monitoring (autonomous alerts and remediation) is the direction the market is moving</w:t>
      </w:r>
      <w:r w:rsidR="00EC5E44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this platform is building toward it</w:t>
      </w:r>
    </w:p>
    <w:p w14:paraId="482DDE09" w14:textId="77777777" w:rsidR="0017752D" w:rsidRDefault="0017752D" w:rsidP="00EF3A6B">
      <w:pPr>
        <w:spacing w:before="60" w:after="60"/>
        <w:jc w:val="both"/>
      </w:pPr>
    </w:p>
    <w:p w14:paraId="22ABCDF2" w14:textId="096E368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Critical gap this platform fills: </w:t>
      </w:r>
      <w:r>
        <w:rPr>
          <w:color w:val="555555"/>
        </w:rPr>
        <w:t>Only 18% of ERM leaders express high confidence in identifying emerging risks (Gartner). Existing platforms are built for governance and compliance</w:t>
      </w:r>
      <w:r w:rsidR="00EC5E44">
        <w:rPr>
          <w:color w:val="555555"/>
        </w:rPr>
        <w:t>,</w:t>
      </w:r>
      <w:r>
        <w:rPr>
          <w:color w:val="555555"/>
        </w:rPr>
        <w:t xml:space="preserve"> not for AI</w:t>
      </w:r>
      <w:r w:rsidR="00EF3A6B">
        <w:rPr>
          <w:color w:val="555555"/>
        </w:rPr>
        <w:t>-</w:t>
      </w:r>
      <w:r>
        <w:rPr>
          <w:color w:val="555555"/>
        </w:rPr>
        <w:t>driven, real</w:t>
      </w:r>
      <w:r w:rsidR="00EF3A6B">
        <w:rPr>
          <w:color w:val="555555"/>
        </w:rPr>
        <w:t>-</w:t>
      </w:r>
      <w:r>
        <w:rPr>
          <w:color w:val="555555"/>
        </w:rPr>
        <w:t xml:space="preserve">time, hierarchical risk intelligence. This is the specific white space </w:t>
      </w:r>
      <w:r w:rsidR="00EF3A6B">
        <w:rPr>
          <w:color w:val="555555"/>
        </w:rPr>
        <w:t>TBD2</w:t>
      </w:r>
      <w:r>
        <w:rPr>
          <w:color w:val="555555"/>
        </w:rPr>
        <w:t xml:space="preserve"> is targeting.</w:t>
      </w:r>
    </w:p>
    <w:p w14:paraId="34088C1D" w14:textId="77777777" w:rsidR="0017752D" w:rsidRDefault="0017752D" w:rsidP="00EF3A6B">
      <w:pPr>
        <w:spacing w:before="60" w:after="60"/>
        <w:jc w:val="both"/>
      </w:pPr>
    </w:p>
    <w:p w14:paraId="7563F97A" w14:textId="77777777" w:rsidR="00EC5E44" w:rsidRDefault="00EC5E44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46F40E26" w14:textId="5C424528" w:rsidR="0017752D" w:rsidRDefault="00000000" w:rsidP="00EF3A6B">
      <w:pPr>
        <w:pStyle w:val="Heading1"/>
        <w:jc w:val="both"/>
      </w:pPr>
      <w:r>
        <w:lastRenderedPageBreak/>
        <w:t>3. Competitive Landscape</w:t>
      </w:r>
    </w:p>
    <w:p w14:paraId="1BCFAAF0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3.1 Direct Competitors</w:t>
      </w:r>
    </w:p>
    <w:p w14:paraId="08DD7895" w14:textId="2AACD926" w:rsidR="0017752D" w:rsidRDefault="00000000" w:rsidP="00EF3A6B">
      <w:pPr>
        <w:spacing w:before="80" w:after="120"/>
        <w:jc w:val="both"/>
      </w:pPr>
      <w:r>
        <w:rPr>
          <w:color w:val="555555"/>
        </w:rPr>
        <w:t xml:space="preserve">The following are the confirmed primary ERM/GRC competitors as of 2026, with their known weaknesses that </w:t>
      </w:r>
      <w:r w:rsidR="00EF3A6B">
        <w:rPr>
          <w:color w:val="555555"/>
        </w:rPr>
        <w:t>TBD2</w:t>
      </w:r>
      <w:r>
        <w:rPr>
          <w:color w:val="555555"/>
        </w:rPr>
        <w:t xml:space="preserve"> can exploit: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1973"/>
        <w:gridCol w:w="2492"/>
        <w:gridCol w:w="3073"/>
      </w:tblGrid>
      <w:tr w:rsidR="0017752D" w14:paraId="2B35F483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792DE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015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A24F8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Segment</w:t>
            </w:r>
          </w:p>
        </w:tc>
        <w:tc>
          <w:tcPr>
            <w:tcW w:w="128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8FB2A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Strength</w:t>
            </w:r>
          </w:p>
        </w:tc>
        <w:tc>
          <w:tcPr>
            <w:tcW w:w="1581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82F28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Weakness / Gap</w:t>
            </w:r>
          </w:p>
        </w:tc>
      </w:tr>
      <w:tr w:rsidR="0017752D" w14:paraId="180F59E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21D7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MetricStream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1D40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Large enterprise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EAF1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Broad GRC + AI (AiSPIRE engine)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FA37A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Heavy implementation (months + consultants), dated UI, expensive</w:t>
            </w:r>
          </w:p>
        </w:tc>
      </w:tr>
      <w:tr w:rsidR="0017752D" w14:paraId="3FE83907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90A47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Riskonnect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BF5F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Mid to large enterprise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8236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Widest risk spectrum, insurance origins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401DC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No standout AI narrative, UI criticised</w:t>
            </w:r>
          </w:p>
        </w:tc>
      </w:tr>
      <w:tr w:rsidR="0017752D" w14:paraId="13EA41B8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08ECB" w14:textId="385CB6BD" w:rsidR="0017752D" w:rsidRDefault="00AB28AA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Logic Manager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2E601" w14:textId="475DBDFC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Mid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market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E692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Fixed pricing, advisory support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63273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Limited API integrations, slow reporting, no real AI correlation engine</w:t>
            </w:r>
          </w:p>
        </w:tc>
      </w:tr>
      <w:tr w:rsidR="0017752D" w14:paraId="1A8433BC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7DE7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Diligent One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DBAD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Board / executives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6AF5C" w14:textId="40790F6E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Board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ready reporting, NLP risk scanning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25F0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Narrow ERM depth, steep learning curve, high pricing</w:t>
            </w:r>
          </w:p>
        </w:tc>
      </w:tr>
      <w:tr w:rsidR="0017752D" w14:paraId="328F3317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182F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RSA Archer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95AF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Large enterprise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3F33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Deep configurability, legacy market share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6B9B6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Complex maintenance, dated interface, slow implementation</w:t>
            </w:r>
          </w:p>
        </w:tc>
      </w:tr>
      <w:tr w:rsidR="0017752D" w14:paraId="0D696630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7C72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ServiceNow GRC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F2BA8" w14:textId="7E9FBD01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IT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heavy enterprises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AB0B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Strong ITSM integration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AFAEE" w14:textId="3F98BE63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Overkill for non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IT risk, very high cost, locked to ServiceNow</w:t>
            </w:r>
          </w:p>
        </w:tc>
      </w:tr>
      <w:tr w:rsidR="0017752D" w14:paraId="53E7A5D3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1FE4E" w14:textId="03D46BFC" w:rsidR="0017752D" w:rsidRDefault="00AB28AA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Logic Gate</w:t>
            </w:r>
            <w:r w:rsidR="00000000">
              <w:rPr>
                <w:color w:val="555555"/>
                <w:sz w:val="20"/>
                <w:szCs w:val="20"/>
              </w:rPr>
              <w:t xml:space="preserve"> Risk Cloud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5B905" w14:textId="07307CF3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Mid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market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7E7FB" w14:textId="14EB1AD8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Pre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built templates, no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code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B68F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Less deep than enterprise platforms, limited AI capability</w:t>
            </w:r>
          </w:p>
        </w:tc>
      </w:tr>
      <w:tr w:rsidR="0017752D" w14:paraId="2B22B317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1696A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IBM OpenPages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5F89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Financial services</w:t>
            </w:r>
          </w:p>
        </w:tc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DFCF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Regulatory depth, IBM ecosystem</w:t>
            </w:r>
          </w:p>
        </w:tc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F4AB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Very expensive, requires IBM infrastructure commitment</w:t>
            </w:r>
          </w:p>
        </w:tc>
      </w:tr>
    </w:tbl>
    <w:p w14:paraId="5FFECCC3" w14:textId="642E8D5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 xml:space="preserve">3.2 </w:t>
      </w:r>
      <w:r w:rsidR="00EF3A6B">
        <w:rPr>
          <w:color w:val="1B3B5F"/>
        </w:rPr>
        <w:t>TBD2</w:t>
      </w:r>
      <w:r>
        <w:rPr>
          <w:color w:val="1B3B5F"/>
        </w:rPr>
        <w:t xml:space="preserve"> Differentiation</w:t>
      </w:r>
    </w:p>
    <w:p w14:paraId="4D024CCD" w14:textId="166B1563" w:rsidR="0017752D" w:rsidRDefault="00000000" w:rsidP="00EF3A6B">
      <w:pPr>
        <w:spacing w:before="80" w:after="120"/>
        <w:jc w:val="both"/>
      </w:pPr>
      <w:r>
        <w:rPr>
          <w:color w:val="555555"/>
        </w:rPr>
        <w:t xml:space="preserve">Against this landscape, </w:t>
      </w:r>
      <w:r w:rsidR="00EF3A6B">
        <w:rPr>
          <w:color w:val="555555"/>
        </w:rPr>
        <w:t>TBD2</w:t>
      </w:r>
      <w:r>
        <w:rPr>
          <w:color w:val="555555"/>
        </w:rPr>
        <w:t xml:space="preserve"> has a defensible differentiation position on three axes:</w:t>
      </w:r>
    </w:p>
    <w:p w14:paraId="6C4926E4" w14:textId="38E7CB5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Two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tier LLM processing with intra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module correlation analysis</w:t>
      </w:r>
      <w:r w:rsidR="00EC5E44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no competitor has this as a native first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class feature. Existing platforms offer AI as a reporting add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on, not as the analytical engine at every hierarchy level.</w:t>
      </w:r>
    </w:p>
    <w:p w14:paraId="4D65F18A" w14:textId="384B2D79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Five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level drill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down hierarchy (Enterprise &gt; Module &gt; Sub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Module &gt; Group &gt; Metric)</w:t>
      </w:r>
      <w:r w:rsidR="00EC5E44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competitors offer top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level dashboards and some drill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down, but none have a structured 1,200+ metric hierarchy with AI correlation at each tier.</w:t>
      </w:r>
    </w:p>
    <w:p w14:paraId="5AF00696" w14:textId="5449FF74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Investor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grade PDF/PPT export from AI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synthesised data</w:t>
      </w:r>
      <w:r w:rsidR="00EC5E44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positioned explicitly for CRO/CFO stakeholder presentations. No competitor makes this a first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class feature.</w:t>
      </w:r>
    </w:p>
    <w:p w14:paraId="45397EF6" w14:textId="727F3E04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Modern, executive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grade UI (</w:t>
      </w:r>
      <w:r w:rsidR="00EF3A6B">
        <w:rPr>
          <w:color w:val="555555"/>
          <w:sz w:val="21"/>
          <w:szCs w:val="21"/>
        </w:rPr>
        <w:t>TBD2</w:t>
      </w:r>
      <w:r>
        <w:rPr>
          <w:color w:val="555555"/>
          <w:sz w:val="21"/>
          <w:szCs w:val="21"/>
        </w:rPr>
        <w:t xml:space="preserve"> / Aegis Quantum design system)</w:t>
      </w:r>
      <w:r w:rsidR="00EC5E44">
        <w:rPr>
          <w:color w:val="555555"/>
          <w:sz w:val="21"/>
          <w:szCs w:val="21"/>
        </w:rPr>
        <w:t>,</w:t>
      </w:r>
      <w:r>
        <w:rPr>
          <w:color w:val="555555"/>
          <w:sz w:val="21"/>
          <w:szCs w:val="21"/>
        </w:rPr>
        <w:t xml:space="preserve"> MetricStream and Archer are frequently criticised for dated interfaces. The premium dark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mode HUD aesthetic is a genuine differentiator in this market.</w:t>
      </w:r>
    </w:p>
    <w:p w14:paraId="49C86E5F" w14:textId="77777777" w:rsidR="0017752D" w:rsidRDefault="0017752D" w:rsidP="00EF3A6B">
      <w:pPr>
        <w:spacing w:before="60" w:after="60"/>
        <w:jc w:val="both"/>
      </w:pPr>
    </w:p>
    <w:p w14:paraId="293F0589" w14:textId="77777777" w:rsidR="0017752D" w:rsidRDefault="00000000" w:rsidP="00EF3A6B">
      <w:pPr>
        <w:pStyle w:val="Heading1"/>
        <w:jc w:val="both"/>
      </w:pPr>
      <w:r>
        <w:lastRenderedPageBreak/>
        <w:t>4. SWOT Analysis</w:t>
      </w:r>
    </w:p>
    <w:p w14:paraId="71C41622" w14:textId="636F0499" w:rsidR="0017752D" w:rsidRDefault="00000000" w:rsidP="00EF3A6B">
      <w:pPr>
        <w:spacing w:before="80" w:after="120"/>
        <w:jc w:val="both"/>
      </w:pPr>
      <w:r>
        <w:rPr>
          <w:color w:val="555555"/>
        </w:rPr>
        <w:t>This SWOT is grounded in the artefact analysis from Section 1, competitive research from Section 3, and market data from Section 2. Every item is evidence</w:t>
      </w:r>
      <w:r w:rsidR="00EF3A6B">
        <w:rPr>
          <w:color w:val="555555"/>
        </w:rPr>
        <w:t>-</w:t>
      </w:r>
      <w:r>
        <w:rPr>
          <w:color w:val="555555"/>
        </w:rPr>
        <w:t>based, not generic.</w:t>
      </w:r>
    </w:p>
    <w:p w14:paraId="0A920D7E" w14:textId="77777777" w:rsidR="0017752D" w:rsidRDefault="0017752D" w:rsidP="00EF3A6B">
      <w:pPr>
        <w:spacing w:before="60" w:after="6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17752D" w14:paraId="77DECB56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C470F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STRENGTHS</w:t>
            </w:r>
          </w:p>
        </w:tc>
      </w:tr>
      <w:tr w:rsidR="0017752D" w14:paraId="55FEAF75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2B879F" w14:textId="7C7D4E0A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PoC is already complete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two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tier LLM integration and 12 module pipelines are proven. This is not greenfield; the analytical engine works.</w:t>
            </w:r>
          </w:p>
        </w:tc>
      </w:tr>
      <w:tr w:rsidR="0017752D" w14:paraId="1874B921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E0D66" w14:textId="3D365221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1,200+ metric hierarchy with AI correlation at every level (Enterprise &gt; Module &gt; 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Module &gt; Group &gt; Metric)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no competitor offers this architecture natively.</w:t>
            </w:r>
          </w:p>
        </w:tc>
      </w:tr>
      <w:tr w:rsidR="0017752D" w14:paraId="79285767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EEEDDF" w14:textId="215D928A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Model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agnostic LLM integration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configurable between Anthropic, OpenAI, and Gemini. Reduces vendor lock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in and allows cost optimisation.</w:t>
            </w:r>
          </w:p>
        </w:tc>
      </w:tr>
      <w:tr w:rsidR="0017752D" w14:paraId="7FCE9C70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AE10FE" w14:textId="759BDE0B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Premium enterprise UI (</w:t>
            </w:r>
            <w:r w:rsidR="00EF3A6B">
              <w:rPr>
                <w:color w:val="555555"/>
                <w:sz w:val="20"/>
                <w:szCs w:val="20"/>
              </w:rPr>
              <w:t>TBD2</w:t>
            </w:r>
            <w:r>
              <w:rPr>
                <w:color w:val="555555"/>
                <w:sz w:val="20"/>
                <w:szCs w:val="20"/>
              </w:rPr>
              <w:t xml:space="preserve"> / Aegis Quantum)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Space Grotesk + Inter, tonal layering, no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line design system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visually miles ahead of MetricStream and Archer.</w:t>
            </w:r>
          </w:p>
        </w:tc>
      </w:tr>
      <w:tr w:rsidR="0017752D" w14:paraId="26434A18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546F6C" w14:textId="756A910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Investor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ready PDF/PPT export feature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directly addresses executive and board communication needs.</w:t>
            </w:r>
          </w:p>
        </w:tc>
      </w:tr>
      <w:tr w:rsidR="0017752D" w14:paraId="4ADB9908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7E359C" w14:textId="45FCEFE1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Confidence scoring layer on every projection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gives risk outputs statistical credibility, a differentiator in the market.</w:t>
            </w:r>
          </w:p>
        </w:tc>
      </w:tr>
      <w:tr w:rsidR="0017752D" w14:paraId="14771686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8AAF61" w14:textId="7C331A8A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Modular, independently deployable pipeline architecture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each of the 12 domain pipelines can be deployed and updated independently.</w:t>
            </w:r>
          </w:p>
        </w:tc>
      </w:tr>
      <w:tr w:rsidR="0017752D" w14:paraId="3CEDA13C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A7D6F1" w14:textId="1FE97071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Small lean team (4 people) with clear role independence model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minimal coordination overhead for an 8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week MVP.</w:t>
            </w:r>
          </w:p>
        </w:tc>
      </w:tr>
      <w:tr w:rsidR="0017752D" w14:paraId="150187CE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4F51CB" w14:textId="0422B25A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Batch pipeline V1 + real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time in V2 roadmap</w:t>
            </w:r>
            <w:r w:rsidR="00EC5E44">
              <w:rPr>
                <w:color w:val="555555"/>
                <w:sz w:val="20"/>
                <w:szCs w:val="20"/>
              </w:rPr>
              <w:t>,</w:t>
            </w:r>
            <w:r>
              <w:rPr>
                <w:color w:val="555555"/>
                <w:sz w:val="20"/>
                <w:szCs w:val="20"/>
              </w:rPr>
              <w:t xml:space="preserve"> pragmatic scope management.</w:t>
            </w:r>
          </w:p>
        </w:tc>
      </w:tr>
    </w:tbl>
    <w:p w14:paraId="034A258C" w14:textId="706C4552" w:rsidR="00AB28AA" w:rsidRDefault="00AB28AA" w:rsidP="00EC5E44"/>
    <w:p w14:paraId="20FEF791" w14:textId="63A72E88" w:rsidR="0017752D" w:rsidRDefault="00AB28AA" w:rsidP="00AB28AA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17752D" w14:paraId="74987D1F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DE6A15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WEAKNESSES</w:t>
            </w:r>
          </w:p>
        </w:tc>
      </w:tr>
      <w:tr w:rsidR="0017752D" w14:paraId="6DBBCE6F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04F1C5" w14:textId="0F2CDB9A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12 Modules not yet defined (Open Question Q3) — the exact module list and 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module/group structure is unresolved. This BLOCKS DB schema design and pipeline wrapper work in Week 1.</w:t>
            </w:r>
          </w:p>
        </w:tc>
      </w:tr>
      <w:tr w:rsidR="0017752D" w14:paraId="577C7E6A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EB572F" w14:textId="319075CC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Confidence scoring methodology undefined (Open Question Q6) — the statistical model is unspecified. This will block the confidence engine in Week 5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6.</w:t>
            </w:r>
          </w:p>
        </w:tc>
      </w:tr>
      <w:tr w:rsidR="0017752D" w14:paraId="551A77C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0A8844" w14:textId="60F4048C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No real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time data ingestion in V1.0 — batch pipeline only. Enterprise customers with time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sensitive risk monitoring (telcos, financial services) may find this a barrier.</w:t>
            </w:r>
          </w:p>
        </w:tc>
      </w:tr>
      <w:tr w:rsidR="0017752D" w14:paraId="021F0F5C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72471D" w14:textId="65F14743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Single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tenant V1.0 — multi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tenancy deferred to V2.0. Limits SaaS commercialisation options for the MVP.</w:t>
            </w:r>
          </w:p>
        </w:tc>
      </w:tr>
      <w:tr w:rsidR="0017752D" w14:paraId="2DDF82E2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9CFE95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No ERP/ITSM integrations in V1.0 — manual data import only. Creates friction for enterprises already using SAP, ServiceNow, or Oracle.</w:t>
            </w:r>
          </w:p>
        </w:tc>
      </w:tr>
      <w:tr w:rsidR="0017752D" w14:paraId="6D1E5B00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ACE01B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React SPA choice has architectural risks at scale (see Section 5 — Tech Stack Analysis).</w:t>
            </w:r>
          </w:p>
        </w:tc>
      </w:tr>
      <w:tr w:rsidR="0017752D" w14:paraId="5542AD1F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95FE1E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Emergency Override button visible in all UI screens but completely unspecced — 10 similar unspecced UI elements identified. These are engineering time bombs.</w:t>
            </w:r>
          </w:p>
        </w:tc>
      </w:tr>
      <w:tr w:rsidR="0017752D" w14:paraId="4B272346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F87180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LLM API costs at scale — 12 parallel module calls + 1 enterprise call per pipeline run. At enterprise scale with multiple tenants (V2.0), this cost model needs validating.</w:t>
            </w:r>
          </w:p>
        </w:tc>
      </w:tr>
      <w:tr w:rsidR="0017752D" w14:paraId="705A58B7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81244C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No mobile app in V1.0 — responsive web only. Increasingly, executives expect mobile access to dashboards.</w:t>
            </w:r>
          </w:p>
        </w:tc>
      </w:tr>
    </w:tbl>
    <w:p w14:paraId="550A4DE7" w14:textId="77777777" w:rsidR="0017752D" w:rsidRDefault="0017752D" w:rsidP="00EF3A6B">
      <w:pPr>
        <w:spacing w:before="60" w:after="6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17752D" w14:paraId="5D48EE62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003582"/>
              <w:left w:val="single" w:sz="1" w:space="0" w:color="003582"/>
              <w:bottom w:val="single" w:sz="1" w:space="0" w:color="003582"/>
              <w:right w:val="single" w:sz="1" w:space="0" w:color="003582"/>
            </w:tcBorders>
            <w:shd w:val="clear" w:color="auto" w:fill="00358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B86A4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OPPORTUNITIES</w:t>
            </w:r>
          </w:p>
        </w:tc>
      </w:tr>
      <w:tr w:rsidR="0017752D" w14:paraId="35FF7A9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EE1744" w14:textId="7E48FBAC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ERM market growing at 14.8% CAGR to $11.97B by 2030 — one of the fastest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growing enterprise software segments.</w:t>
            </w:r>
          </w:p>
        </w:tc>
      </w:tr>
      <w:tr w:rsidR="0017752D" w14:paraId="4E52214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0F12D4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59% of organisations still on spreadsheets for ERM — massive displacement opportunity with zero technical competition.</w:t>
            </w:r>
          </w:p>
        </w:tc>
      </w:tr>
      <w:tr w:rsidR="0017752D" w14:paraId="3D1D88DE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D3D84B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EU AI Act (phased in August 2025) creating mandatory AI governance requirements — regulatory tailwind driving urgency to adopt AI risk platforms.</w:t>
            </w:r>
          </w:p>
        </w:tc>
      </w:tr>
      <w:tr w:rsidR="0017752D" w14:paraId="1342CE3A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87B66" w14:textId="04F2CD12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Only 6% of organisations use AI for risk identification (IIA 2025) — first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mover advantage window is wide open.</w:t>
            </w:r>
          </w:p>
        </w:tc>
      </w:tr>
      <w:tr w:rsidR="0017752D" w14:paraId="41A22608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EE3634" w14:textId="13020F45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Telecom sector SLA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linked domain monitoring is a high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value vertical — underserved by current competitors whose origins are in financial services.</w:t>
            </w:r>
          </w:p>
        </w:tc>
      </w:tr>
      <w:tr w:rsidR="0017752D" w14:paraId="1EAB9494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99E324" w14:textId="03FFE8E4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V2.0 multi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tenancy unlocks SaaS scaling — one platform serving multiple enterprise tenants dramatically changes the unit economics.</w:t>
            </w:r>
          </w:p>
        </w:tc>
      </w:tr>
      <w:tr w:rsidR="0017752D" w14:paraId="50E3D00A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6FA398" w14:textId="1B620356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Agentic AI (autonomous risk monitoring and remediation) is the market's declared next phase — the two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tier LLM architecture is an extensible foundation for this.</w:t>
            </w:r>
          </w:p>
        </w:tc>
      </w:tr>
      <w:tr w:rsidR="0017752D" w14:paraId="75FF015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B0F6F5" w14:textId="5B899EFE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APAC and Middle East &amp; Africa are fastest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growing regions (23% and 10% of global market) — low competition from legacy US/EU incumbents.</w:t>
            </w:r>
          </w:p>
        </w:tc>
      </w:tr>
      <w:tr w:rsidR="0017752D" w14:paraId="026BB78A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E3A632" w14:textId="69A8500B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Mid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market and SME segments are underserved by MetricStream and Archer (too expensive, too complex) — significant addressable market at lower price points.</w:t>
            </w:r>
          </w:p>
        </w:tc>
      </w:tr>
    </w:tbl>
    <w:p w14:paraId="796CE7C5" w14:textId="77777777" w:rsidR="0017752D" w:rsidRDefault="0017752D" w:rsidP="00EF3A6B">
      <w:pPr>
        <w:spacing w:before="60" w:after="6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17752D" w14:paraId="5E8CA812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B7950B"/>
              <w:left w:val="single" w:sz="1" w:space="0" w:color="B7950B"/>
              <w:bottom w:val="single" w:sz="1" w:space="0" w:color="B7950B"/>
              <w:right w:val="single" w:sz="1" w:space="0" w:color="B7950B"/>
            </w:tcBorders>
            <w:shd w:val="clear" w:color="auto" w:fill="B7950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46B13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1A1A2E"/>
                <w:sz w:val="24"/>
                <w:szCs w:val="24"/>
              </w:rPr>
              <w:lastRenderedPageBreak/>
              <w:t>THREATS</w:t>
            </w:r>
          </w:p>
        </w:tc>
      </w:tr>
      <w:tr w:rsidR="0017752D" w14:paraId="2A85847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189128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MetricStream AiSPIRE engine is already in market — if they ship strong correlation analysis capabilities, the AI differentiation gap narrows.</w:t>
            </w:r>
          </w:p>
        </w:tc>
      </w:tr>
      <w:tr w:rsidR="0017752D" w14:paraId="7DB570C6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37E0BC" w14:textId="04139646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ServiceNow GRC expansion — ServiceNow is aggressively moving into AI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 xml:space="preserve">powered risk. Enterprises already on ServiceNow may never evaluate </w:t>
            </w:r>
            <w:r w:rsidR="00EF3A6B">
              <w:rPr>
                <w:color w:val="555555"/>
                <w:sz w:val="20"/>
                <w:szCs w:val="20"/>
              </w:rPr>
              <w:t>TBD2</w:t>
            </w:r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17752D" w14:paraId="03D551D5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B44C06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LLM API cost volatility — OpenAI/Anthropic/Google pricing changes directly impact the product's operating economics. No hedging strategy in the PRD.</w:t>
            </w:r>
          </w:p>
        </w:tc>
      </w:tr>
      <w:tr w:rsidR="0017752D" w14:paraId="089C3CAC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B10F14" w14:textId="75315F1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LLM reliability dependency — the entire analytical engine depends on third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party LLM API uptime. A provider outage means no new AI insights.</w:t>
            </w:r>
          </w:p>
        </w:tc>
      </w:tr>
      <w:tr w:rsidR="0017752D" w14:paraId="0F38079A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D0541F" w14:textId="76F8B4EE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8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week MVP timeline is aggressive — 4 people, 7 screens, two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tier LLM integration, PDF/PPT export, RBAC, admin module. Timeline risk is high.</w:t>
            </w:r>
          </w:p>
        </w:tc>
      </w:tr>
      <w:tr w:rsidR="0017752D" w14:paraId="4E02DF99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88466E" w14:textId="049E7F83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10 unspecced UI elements (Emergency Override, Force Recalc, Deploy New Watcher, Rollback Last Domain etc.) — if these get specced mid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sprint, they will break the delivery timeline.</w:t>
            </w:r>
          </w:p>
        </w:tc>
      </w:tr>
      <w:tr w:rsidR="0017752D" w14:paraId="0792D703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48D150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Data privacy regulations (GDPR, CCPA, upcoming) — enterprise customers will require data residency options. V1.0 does not address data governance.</w:t>
            </w:r>
          </w:p>
        </w:tc>
      </w:tr>
      <w:tr w:rsidR="0017752D" w14:paraId="272E625E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4F459D" w14:textId="28280FC5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Enterprise sales cycles are long — even a strong MVP may take 6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12 months to close the first paid enterprise customer.</w:t>
            </w:r>
          </w:p>
        </w:tc>
      </w:tr>
      <w:tr w:rsidR="0017752D" w14:paraId="0E8EB663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806AD1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• Pricing model undefined — the PRD has no commercial model. No freemium tier, no pricing tiers, no enterprise contract structure.</w:t>
            </w:r>
          </w:p>
        </w:tc>
      </w:tr>
    </w:tbl>
    <w:p w14:paraId="13F79B01" w14:textId="77777777" w:rsidR="0017752D" w:rsidRDefault="0017752D" w:rsidP="00EF3A6B">
      <w:pPr>
        <w:spacing w:before="60" w:after="60"/>
        <w:jc w:val="both"/>
      </w:pPr>
    </w:p>
    <w:p w14:paraId="5A1EE9A6" w14:textId="77777777" w:rsidR="00EC5E44" w:rsidRDefault="00EC5E44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1D024131" w14:textId="5C76F196" w:rsidR="0017752D" w:rsidRDefault="00000000" w:rsidP="00EF3A6B">
      <w:pPr>
        <w:pStyle w:val="Heading1"/>
        <w:jc w:val="both"/>
      </w:pPr>
      <w:r>
        <w:lastRenderedPageBreak/>
        <w:t>5. Technology Stack — Line</w:t>
      </w:r>
      <w:r w:rsidR="00EF3A6B">
        <w:t>-</w:t>
      </w:r>
      <w:r>
        <w:t>by</w:t>
      </w:r>
      <w:r w:rsidR="00EF3A6B">
        <w:t>-</w:t>
      </w:r>
      <w:r>
        <w:t>Line Validation</w:t>
      </w:r>
    </w:p>
    <w:p w14:paraId="7A8BC7BE" w14:textId="31CE9752" w:rsidR="0017752D" w:rsidRDefault="00000000" w:rsidP="00EF3A6B">
      <w:pPr>
        <w:spacing w:before="80" w:after="120"/>
        <w:jc w:val="both"/>
      </w:pPr>
      <w:r>
        <w:rPr>
          <w:color w:val="555555"/>
        </w:rPr>
        <w:t>The PRD recommends a specific technology stack. Each choice is evaluated below against current (2026) research, with a verdict and recommendation for your three</w:t>
      </w:r>
      <w:r w:rsidR="00EF3A6B">
        <w:rPr>
          <w:color w:val="555555"/>
        </w:rPr>
        <w:t>-</w:t>
      </w:r>
      <w:r>
        <w:rPr>
          <w:color w:val="555555"/>
        </w:rPr>
        <w:t>way decision</w:t>
      </w:r>
      <w:r w:rsidR="00EF3A6B">
        <w:rPr>
          <w:color w:val="555555"/>
        </w:rPr>
        <w:t>-</w:t>
      </w:r>
      <w:r>
        <w:rPr>
          <w:color w:val="555555"/>
        </w:rPr>
        <w:t>making process.</w:t>
      </w:r>
    </w:p>
    <w:p w14:paraId="5F7AC725" w14:textId="77777777" w:rsidR="0017752D" w:rsidRDefault="0017752D" w:rsidP="00EF3A6B">
      <w:pPr>
        <w:spacing w:before="60" w:after="60"/>
        <w:jc w:val="both"/>
      </w:pPr>
    </w:p>
    <w:p w14:paraId="0436D1DA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5.1 Frontend: React SPA vs Next.js</w:t>
      </w:r>
    </w:p>
    <w:p w14:paraId="7187A4B7" w14:textId="7C622379" w:rsidR="00EC5E44" w:rsidRPr="00EC5E44" w:rsidRDefault="00000000" w:rsidP="00EC5E44">
      <w:pPr>
        <w:spacing w:before="80" w:after="120"/>
        <w:jc w:val="both"/>
      </w:pPr>
      <w:r>
        <w:rPr>
          <w:b/>
          <w:bCs/>
          <w:color w:val="1A1A2E"/>
        </w:rPr>
        <w:t xml:space="preserve">PRD says: </w:t>
      </w:r>
      <w:r>
        <w:rPr>
          <w:color w:val="555555"/>
        </w:rPr>
        <w:t>"React.js / Next.js" — listed as options. The design artefacts are pure HTML/Tailwind prototypes, which are framework</w:t>
      </w:r>
      <w:r w:rsidR="00EF3A6B">
        <w:rPr>
          <w:color w:val="555555"/>
        </w:rPr>
        <w:t>-</w:t>
      </w:r>
      <w:r>
        <w:rPr>
          <w:color w:val="555555"/>
        </w:rPr>
        <w:t>agnostic.</w:t>
      </w:r>
    </w:p>
    <w:p w14:paraId="6DDB6C6B" w14:textId="6B35298B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Research finding: </w:t>
      </w:r>
      <w:r>
        <w:rPr>
          <w:color w:val="555555"/>
        </w:rPr>
        <w:t>For this specific product — a fully authenticated, data</w:t>
      </w:r>
      <w:r w:rsidR="00EF3A6B">
        <w:rPr>
          <w:color w:val="555555"/>
        </w:rPr>
        <w:t>-</w:t>
      </w:r>
      <w:r>
        <w:rPr>
          <w:color w:val="555555"/>
        </w:rPr>
        <w:t>dense enterprise dashboard behind a login wall, with no SEO requirements and complex interactive state — the research consensus in 2026 is clear: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510"/>
        <w:gridCol w:w="3508"/>
      </w:tblGrid>
      <w:tr w:rsidR="0017752D" w14:paraId="5E1D0479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B47D9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806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016CB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React SPA</w:t>
            </w:r>
          </w:p>
        </w:tc>
        <w:tc>
          <w:tcPr>
            <w:tcW w:w="1806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71DBF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Next.js</w:t>
            </w:r>
          </w:p>
        </w:tc>
      </w:tr>
      <w:tr w:rsidR="0017752D" w14:paraId="3D01B31F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178D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Performance for dashboards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68722" w14:textId="08ECAD0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Excellent for CSR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only SPAs with complex state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AFCD1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Server components add overhead for heavily interactive UIs</w:t>
            </w:r>
          </w:p>
        </w:tc>
      </w:tr>
      <w:tr w:rsidR="0017752D" w14:paraId="3F3708D6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173E6" w14:textId="48FC934B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Authentication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gated apps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7E48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Ideal — no public pages need SSR/SSG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785DC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SSR/SSG benefits are wasted when all pages are behind login</w:t>
            </w:r>
          </w:p>
        </w:tc>
      </w:tr>
      <w:tr w:rsidR="0017752D" w14:paraId="77D10F39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AD14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Architectural independence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AB0C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Clean separation: React frontend + FastAPI backend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DDB4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Introduces Node.js server tier between React and FastAPI</w:t>
            </w:r>
          </w:p>
        </w:tc>
      </w:tr>
      <w:tr w:rsidR="0017752D" w14:paraId="6BDB4D1A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1E9F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Scalability (UI)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A07CB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Scale React/Vite independently via CDN/S3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9C6C6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Requires Next.js server instances to scale</w:t>
            </w:r>
          </w:p>
        </w:tc>
      </w:tr>
      <w:tr w:rsidR="0017752D" w14:paraId="4D8CCF0F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9E0F8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Used by similar products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8741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Figma, Notion, Trello, enterprise dashboards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B7D8F" w14:textId="77E8FC7E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Marketing sites, 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commerce, content platforms</w:t>
            </w:r>
          </w:p>
        </w:tc>
      </w:tr>
      <w:tr w:rsidR="0017752D" w14:paraId="6F65CAAF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052C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2026 verdict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5994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RECOMMENDED for this use case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71177" w14:textId="4340133A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Over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engineered for an auth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gated dashboard</w:t>
            </w:r>
          </w:p>
        </w:tc>
      </w:tr>
    </w:tbl>
    <w:p w14:paraId="2F1D8E37" w14:textId="77777777" w:rsidR="0017752D" w:rsidRDefault="0017752D" w:rsidP="00EF3A6B">
      <w:pPr>
        <w:spacing w:before="60" w:after="60"/>
        <w:jc w:val="both"/>
      </w:pPr>
    </w:p>
    <w:p w14:paraId="1BE5AA86" w14:textId="01651EF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Verdict: </w:t>
      </w:r>
      <w:r>
        <w:rPr>
          <w:color w:val="555555"/>
        </w:rPr>
        <w:t xml:space="preserve">React SPA (with Vite as the bundler, not CRA) + TailwindCSS is the correct choice for </w:t>
      </w:r>
      <w:r w:rsidR="00EF3A6B">
        <w:rPr>
          <w:color w:val="555555"/>
        </w:rPr>
        <w:t>TBD2</w:t>
      </w:r>
      <w:r>
        <w:rPr>
          <w:color w:val="555555"/>
        </w:rPr>
        <w:t>. Next.js should not be used. The product has no public</w:t>
      </w:r>
      <w:r w:rsidR="00EF3A6B">
        <w:rPr>
          <w:color w:val="555555"/>
        </w:rPr>
        <w:t>-</w:t>
      </w:r>
      <w:r>
        <w:rPr>
          <w:color w:val="555555"/>
        </w:rPr>
        <w:t>facing pages, no SEO requirement, and extremely complex interactive state (1,200+ metrics, drill</w:t>
      </w:r>
      <w:r w:rsidR="00EF3A6B">
        <w:rPr>
          <w:color w:val="555555"/>
        </w:rPr>
        <w:t>-</w:t>
      </w:r>
      <w:r>
        <w:rPr>
          <w:color w:val="555555"/>
        </w:rPr>
        <w:t>down navigation, real</w:t>
      </w:r>
      <w:r w:rsidR="00EF3A6B">
        <w:rPr>
          <w:color w:val="555555"/>
        </w:rPr>
        <w:t>-</w:t>
      </w:r>
      <w:r>
        <w:rPr>
          <w:color w:val="555555"/>
        </w:rPr>
        <w:t>time pipeline status, AI co</w:t>
      </w:r>
      <w:r w:rsidR="00EF3A6B">
        <w:rPr>
          <w:color w:val="555555"/>
        </w:rPr>
        <w:t>-</w:t>
      </w:r>
      <w:r>
        <w:rPr>
          <w:color w:val="555555"/>
        </w:rPr>
        <w:t>pilot). The additional SSR/SSG machinery of Next.js adds complexity without benefit for this architecture. The PRD's "React.js / Next.js" framing should be resolved to React SPA + Vite.</w:t>
      </w:r>
    </w:p>
    <w:p w14:paraId="4D10DA20" w14:textId="77777777" w:rsidR="00EC5E44" w:rsidRDefault="00EC5E44">
      <w:pPr>
        <w:rPr>
          <w:b/>
          <w:bCs/>
          <w:color w:val="1B3B5F"/>
          <w:sz w:val="30"/>
          <w:szCs w:val="30"/>
        </w:rPr>
      </w:pPr>
      <w:r>
        <w:rPr>
          <w:color w:val="1B3B5F"/>
        </w:rPr>
        <w:br w:type="page"/>
      </w:r>
    </w:p>
    <w:p w14:paraId="54CBA8A6" w14:textId="5BF7D0C4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lastRenderedPageBreak/>
        <w:t>5.2 Backend: FastAPI vs Django REST</w:t>
      </w:r>
    </w:p>
    <w:p w14:paraId="2411DD92" w14:textId="7777777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PRD says: </w:t>
      </w:r>
      <w:r>
        <w:rPr>
          <w:color w:val="555555"/>
        </w:rPr>
        <w:t>"Python (FastAPI / Django REST), Celery for async pipelines"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510"/>
        <w:gridCol w:w="3508"/>
      </w:tblGrid>
      <w:tr w:rsidR="0017752D" w14:paraId="01049B1C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DE7C7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806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1B0E7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FastAPI</w:t>
            </w:r>
          </w:p>
        </w:tc>
        <w:tc>
          <w:tcPr>
            <w:tcW w:w="1806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C9889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Django REST</w:t>
            </w:r>
          </w:p>
        </w:tc>
      </w:tr>
      <w:tr w:rsidR="0017752D" w14:paraId="76AD8A8C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F44C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Async/concurrent requests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D9A2C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Native async/await — ideal for LLM API calls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06B35" w14:textId="01488FDE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Async requires careful config; not fully async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native</w:t>
            </w:r>
          </w:p>
        </w:tc>
      </w:tr>
      <w:tr w:rsidR="0017752D" w14:paraId="7A52EFB4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902D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LLM API integration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EADD3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Handles concurrent LLM calls (12 modules in parallel) natively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F48A7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Concurrent LLM calls need workarounds</w:t>
            </w:r>
          </w:p>
        </w:tc>
      </w:tr>
      <w:tr w:rsidR="0017752D" w14:paraId="441A81BC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2BFB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Performance (RPS)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14B3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3,000+ RPS — fastest Python framework in benchmarks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F22E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Slower due to heavyweight ORM middleware</w:t>
            </w:r>
          </w:p>
        </w:tc>
      </w:tr>
      <w:tr w:rsidR="0017752D" w14:paraId="2A286E33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FDB58" w14:textId="11FEEDCA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Auto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generated API docs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E94D6" w14:textId="03DD750C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Built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in OpenAPI/Swagger — essential for frontend API contract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0B5BA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DRF requires additional setup</w:t>
            </w:r>
          </w:p>
        </w:tc>
      </w:tr>
      <w:tr w:rsidR="0017752D" w14:paraId="75DD1C16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854E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RBAC / Admin panel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DC222" w14:textId="67D7F712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Must build or use library (FastAPI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Users etc.)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D96BF" w14:textId="0346D0F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Built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in — significant time saving for Admin module</w:t>
            </w:r>
          </w:p>
        </w:tc>
      </w:tr>
      <w:tr w:rsidR="0017752D" w14:paraId="64231EB0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B7E3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LLM async relay (Ask AI)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4DD9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Native — perfect for streaming responses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4CD4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Workarounds required</w:t>
            </w:r>
          </w:p>
        </w:tc>
      </w:tr>
      <w:tr w:rsidR="0017752D" w14:paraId="10734183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D2B3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Team learning curve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0B32E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Lower if team knows Python type hints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6B46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Lower if team has Django experience</w:t>
            </w:r>
          </w:p>
        </w:tc>
      </w:tr>
      <w:tr w:rsidR="0017752D" w14:paraId="57408AF7" w14:textId="77777777" w:rsidTr="00EC5E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5089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2026 verdict for this product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880EC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STRONGLY RECOMMENDED</w:t>
            </w:r>
          </w:p>
        </w:tc>
        <w:tc>
          <w:tcPr>
            <w:tcW w:w="18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6AA4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Not recommended for this use case</w:t>
            </w:r>
          </w:p>
        </w:tc>
      </w:tr>
    </w:tbl>
    <w:p w14:paraId="621FFFA5" w14:textId="77777777" w:rsidR="0017752D" w:rsidRDefault="0017752D" w:rsidP="00EF3A6B">
      <w:pPr>
        <w:spacing w:before="60" w:after="60"/>
        <w:jc w:val="both"/>
      </w:pPr>
    </w:p>
    <w:p w14:paraId="009F3596" w14:textId="22640668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Verdict: </w:t>
      </w:r>
      <w:r>
        <w:rPr>
          <w:color w:val="555555"/>
        </w:rPr>
        <w:t xml:space="preserve">FastAPI is the clear choice for </w:t>
      </w:r>
      <w:r w:rsidR="00EF3A6B">
        <w:rPr>
          <w:color w:val="555555"/>
        </w:rPr>
        <w:t>TBD2</w:t>
      </w:r>
      <w:r>
        <w:rPr>
          <w:color w:val="555555"/>
        </w:rPr>
        <w:t>. The two</w:t>
      </w:r>
      <w:r w:rsidR="00EF3A6B">
        <w:rPr>
          <w:color w:val="555555"/>
        </w:rPr>
        <w:t>-</w:t>
      </w:r>
      <w:r>
        <w:rPr>
          <w:color w:val="555555"/>
        </w:rPr>
        <w:t xml:space="preserve">tier LLM architecture — 12 parallel module calls + 1 enterprise call — requires genuine async concurrency, which FastAPI handles natively. The Ask AI relay needs streaming response support. Django's admin panel is its main advantage, but the </w:t>
      </w:r>
      <w:r w:rsidR="00AB28AA">
        <w:rPr>
          <w:color w:val="555555"/>
        </w:rPr>
        <w:t>admin</w:t>
      </w:r>
      <w:r>
        <w:rPr>
          <w:color w:val="555555"/>
        </w:rPr>
        <w:t xml:space="preserve"> module in this product is custom</w:t>
      </w:r>
      <w:r w:rsidR="00EF3A6B">
        <w:rPr>
          <w:color w:val="555555"/>
        </w:rPr>
        <w:t>-</w:t>
      </w:r>
      <w:r>
        <w:rPr>
          <w:color w:val="555555"/>
        </w:rPr>
        <w:t>specced (RBAC, audit logs, user management) and will need to be built regardless. Used in production by Netflix, Microsoft, and Uber. Resolve the PRD's 'FastAPI / Django REST' to FastAPI only.</w:t>
      </w:r>
    </w:p>
    <w:p w14:paraId="76D76A65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5.3 Async Pipeline Orchestration: Celery</w:t>
      </w:r>
    </w:p>
    <w:p w14:paraId="411999A8" w14:textId="7777777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PRD says: </w:t>
      </w:r>
      <w:r>
        <w:rPr>
          <w:color w:val="555555"/>
        </w:rPr>
        <w:t>"Celery for async pipelines, Cron / Celery Beat for scheduling"</w:t>
      </w:r>
    </w:p>
    <w:p w14:paraId="0E2895E1" w14:textId="4CC0484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Verdict: CONFIRMED CORRECT. </w:t>
      </w:r>
      <w:r>
        <w:rPr>
          <w:color w:val="555555"/>
        </w:rPr>
        <w:t>Celery is the right tool for the two</w:t>
      </w:r>
      <w:r w:rsidR="00EF3A6B">
        <w:rPr>
          <w:color w:val="555555"/>
        </w:rPr>
        <w:t>-</w:t>
      </w:r>
      <w:r>
        <w:rPr>
          <w:color w:val="555555"/>
        </w:rPr>
        <w:t>tier LLM orchestration problem. The barrier/join pattern — run 12 module pipeline tasks in parallel, wait for all to complete, then trigger the enterprise</w:t>
      </w:r>
      <w:r w:rsidR="00EF3A6B">
        <w:rPr>
          <w:color w:val="555555"/>
        </w:rPr>
        <w:t>-</w:t>
      </w:r>
      <w:r>
        <w:rPr>
          <w:color w:val="555555"/>
        </w:rPr>
        <w:t>level call — maps exactly to Celery's `chord` primitive (group of tasks + callback). Celery Beat for scheduled runs is the standard approach. One important note: use Redis as the Celery broker (already in the PRD stack) rather than RabbitMQ to minimise infrastructure components.</w:t>
      </w:r>
    </w:p>
    <w:p w14:paraId="295AD495" w14:textId="77777777" w:rsidR="00EC5E44" w:rsidRDefault="00EC5E44">
      <w:pPr>
        <w:rPr>
          <w:b/>
          <w:bCs/>
          <w:color w:val="1B3B5F"/>
          <w:sz w:val="30"/>
          <w:szCs w:val="30"/>
        </w:rPr>
      </w:pPr>
      <w:r>
        <w:rPr>
          <w:color w:val="1B3B5F"/>
        </w:rPr>
        <w:br w:type="page"/>
      </w:r>
    </w:p>
    <w:p w14:paraId="460A9608" w14:textId="1A8CDF2F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lastRenderedPageBreak/>
        <w:t>5.4 Database: PostgreSQL + Redis + S3</w:t>
      </w:r>
    </w:p>
    <w:p w14:paraId="1F2A7AB7" w14:textId="61085641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PRD says: </w:t>
      </w:r>
      <w:r>
        <w:rPr>
          <w:color w:val="555555"/>
        </w:rPr>
        <w:t>"PostgreSQL, Redis (cache), S3</w:t>
      </w:r>
      <w:r w:rsidR="00EF3A6B">
        <w:rPr>
          <w:color w:val="555555"/>
        </w:rPr>
        <w:t>-</w:t>
      </w:r>
      <w:r>
        <w:rPr>
          <w:color w:val="555555"/>
        </w:rPr>
        <w:t>compatible object storage"</w:t>
      </w:r>
    </w:p>
    <w:p w14:paraId="3BB26EBC" w14:textId="7D46350A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Verdict: CONFIRMED CORRECT. </w:t>
      </w:r>
      <w:r>
        <w:rPr>
          <w:color w:val="555555"/>
        </w:rPr>
        <w:t>PostgreSQL is the right choice for the five</w:t>
      </w:r>
      <w:r w:rsidR="00EF3A6B">
        <w:rPr>
          <w:color w:val="555555"/>
        </w:rPr>
        <w:t>-</w:t>
      </w:r>
      <w:r>
        <w:rPr>
          <w:color w:val="555555"/>
        </w:rPr>
        <w:t>level hierarchy (a recursive/tree structure that PostgreSQL handles well with CTEs and JSONB). Redis for Celery broker + response caching (LLM output cache per module per run) is correct. S3</w:t>
      </w:r>
      <w:r w:rsidR="00EF3A6B">
        <w:rPr>
          <w:color w:val="555555"/>
        </w:rPr>
        <w:t>-</w:t>
      </w:r>
      <w:r>
        <w:rPr>
          <w:color w:val="555555"/>
        </w:rPr>
        <w:t>compatible storage for PDF/PPT exports and potentially the Module Knowledge Base documents. No changes recommended.</w:t>
      </w:r>
    </w:p>
    <w:p w14:paraId="474EFB3D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5.5 Infrastructure: Docker + Kubernetes + Celery Beat</w:t>
      </w:r>
    </w:p>
    <w:p w14:paraId="3C091DF0" w14:textId="7777777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PRD says: </w:t>
      </w:r>
      <w:r>
        <w:rPr>
          <w:color w:val="555555"/>
        </w:rPr>
        <w:t>"Docker / Kubernetes, Cron / Celery Beat"</w:t>
      </w:r>
    </w:p>
    <w:p w14:paraId="44CE64AB" w14:textId="116C3830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Verdict: CONFIRMED FOR MVP, but flags a resourcing risk. </w:t>
      </w:r>
      <w:r>
        <w:rPr>
          <w:color w:val="555555"/>
        </w:rPr>
        <w:t>Docker is essential and non</w:t>
      </w:r>
      <w:r w:rsidR="00EF3A6B">
        <w:rPr>
          <w:color w:val="555555"/>
        </w:rPr>
        <w:t>-</w:t>
      </w:r>
      <w:r>
        <w:rPr>
          <w:color w:val="555555"/>
        </w:rPr>
        <w:t>negotiable. Kubernetes in the 8</w:t>
      </w:r>
      <w:r w:rsidR="00EF3A6B">
        <w:rPr>
          <w:color w:val="555555"/>
        </w:rPr>
        <w:t>-</w:t>
      </w:r>
      <w:r>
        <w:rPr>
          <w:color w:val="555555"/>
        </w:rPr>
        <w:t>week MVP is ambitious — it adds significant DevOps overhead (cluster management, ingress, service mesh, secrets management via Kubernetes Secrets or Vault). A more pragmatic V1.0 approach would be Docker Compose for the initial deployment (reduces Week 1</w:t>
      </w:r>
      <w:r w:rsidR="00EF3A6B">
        <w:rPr>
          <w:color w:val="555555"/>
        </w:rPr>
        <w:t>-</w:t>
      </w:r>
      <w:r>
        <w:rPr>
          <w:color w:val="555555"/>
        </w:rPr>
        <w:t>2 DevOps burden) with a clean migration path to Kubernetes for V1.1 when load testing justifies it. This is a decision for you and your DevOps partner to make together.</w:t>
      </w:r>
    </w:p>
    <w:p w14:paraId="3CF8BDDA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5.6 One Missing Component: WebSocket / SSE for Pipeline Status</w:t>
      </w:r>
    </w:p>
    <w:p w14:paraId="2D9823D8" w14:textId="40EDAA8B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Gap identified — not in PRD. </w:t>
      </w:r>
      <w:r>
        <w:rPr>
          <w:color w:val="555555"/>
        </w:rPr>
        <w:t>The Pipeline Monitor screen shows a 'RUNNING: 64% COMPLETE' live progress indicator for each of the 12 pipelines. The PRD specifies 'status updates in &lt;5s' for manual triggers (FR</w:t>
      </w:r>
      <w:r w:rsidR="00EF3A6B">
        <w:rPr>
          <w:color w:val="555555"/>
        </w:rPr>
        <w:t>-</w:t>
      </w:r>
      <w:r>
        <w:rPr>
          <w:color w:val="555555"/>
        </w:rPr>
        <w:t>23). The current stack has no mechanism for pushing status updates to the frontend — the React SPA would have to poll the API every few seconds, which is inefficient and creates unnecessary load.</w:t>
      </w:r>
    </w:p>
    <w:p w14:paraId="40A3F288" w14:textId="3AB70267" w:rsidR="0017752D" w:rsidRDefault="00000000" w:rsidP="00EF3A6B">
      <w:pPr>
        <w:spacing w:before="80" w:after="120"/>
        <w:jc w:val="both"/>
      </w:pPr>
      <w:r>
        <w:rPr>
          <w:b/>
          <w:bCs/>
          <w:color w:val="1A1A2E"/>
        </w:rPr>
        <w:t xml:space="preserve">Recommendation: </w:t>
      </w:r>
      <w:r>
        <w:rPr>
          <w:color w:val="555555"/>
        </w:rPr>
        <w:t>Add Server</w:t>
      </w:r>
      <w:r w:rsidR="00EF3A6B">
        <w:rPr>
          <w:color w:val="555555"/>
        </w:rPr>
        <w:t>-</w:t>
      </w:r>
      <w:r>
        <w:rPr>
          <w:color w:val="555555"/>
        </w:rPr>
        <w:t>Sent Events (SSE) or WebSocket support to the FastAPI backend for pipeline status updates. FastAPI supports both natively. This is a small addition (a few endpoints) with large UX impact — the live pipeline progress view cannot work well without it. This should be added to the API contract in Week 1.</w:t>
      </w:r>
    </w:p>
    <w:p w14:paraId="620BADCF" w14:textId="77777777" w:rsidR="00EC5E44" w:rsidRDefault="00EC5E44">
      <w:pPr>
        <w:rPr>
          <w:b/>
          <w:bCs/>
          <w:color w:val="1B3B5F"/>
          <w:sz w:val="30"/>
          <w:szCs w:val="30"/>
        </w:rPr>
      </w:pPr>
      <w:r>
        <w:rPr>
          <w:color w:val="1B3B5F"/>
        </w:rPr>
        <w:br w:type="page"/>
      </w:r>
    </w:p>
    <w:p w14:paraId="6C9C15CF" w14:textId="1C9A2F0C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lastRenderedPageBreak/>
        <w:t>5.7 Summary Verdict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552"/>
      </w:tblGrid>
      <w:tr w:rsidR="0017752D" w14:paraId="22CCDDAE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D8E33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Decision</w:t>
            </w:r>
          </w:p>
        </w:tc>
        <w:tc>
          <w:tcPr>
            <w:tcW w:w="122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518DD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PRD Recommendation</w:t>
            </w:r>
          </w:p>
        </w:tc>
        <w:tc>
          <w:tcPr>
            <w:tcW w:w="122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7A40F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Research Verdict</w:t>
            </w:r>
          </w:p>
        </w:tc>
        <w:tc>
          <w:tcPr>
            <w:tcW w:w="1314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DC21D" w14:textId="77777777" w:rsidR="0017752D" w:rsidRDefault="00000000" w:rsidP="00EC5E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17752D" w14:paraId="0A26D9B1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11B87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Frontend framework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9D02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React.js / Next.js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428C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React SPA + Vite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D8A1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Resolve to React SPA + Vite. Remove Next.js option.</w:t>
            </w:r>
          </w:p>
        </w:tc>
      </w:tr>
      <w:tr w:rsidR="0017752D" w14:paraId="490BB0CE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A062A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Backend framework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B28D6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FastAPI / Django REST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A80B1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FastAPI only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7F62C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Resolve to FastAPI only. Remove Django option.</w:t>
            </w:r>
          </w:p>
        </w:tc>
      </w:tr>
      <w:tr w:rsidR="0017752D" w14:paraId="68F41C13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A98D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Async pipelines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741CF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Celery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46EC6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Confirmed correct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A9431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Use Celery chord for the 12+1 LLM barrier pattern.</w:t>
            </w:r>
          </w:p>
        </w:tc>
      </w:tr>
      <w:tr w:rsidR="0017752D" w14:paraId="3A8BB49E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603E7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Database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0B08D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PostgreSQL + Redis + S3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1DFF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Confirmed correct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A29A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No change needed.</w:t>
            </w:r>
          </w:p>
        </w:tc>
      </w:tr>
      <w:tr w:rsidR="0017752D" w14:paraId="34426D2D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CF4E8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Infrastructure V1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C2426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Docker + Kubernetes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3A4A9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Docker + Compose V1, K8s V1.1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0E5F2" w14:textId="5866EECA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Reduce to Docker Compose for MVP. K8s post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launch.</w:t>
            </w:r>
          </w:p>
        </w:tc>
      </w:tr>
      <w:tr w:rsidR="0017752D" w14:paraId="39371F96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31F47" w14:textId="5AE0265C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Real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time push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3CF05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NOT IN PRD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9BFC4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SSE or WebSocket needed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EB0F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Add to API contract. FastAPI supports natively.</w:t>
            </w:r>
          </w:p>
        </w:tc>
      </w:tr>
      <w:tr w:rsidR="0017752D" w14:paraId="6CB36027" w14:textId="77777777" w:rsidTr="00EC5E44">
        <w:tblPrEx>
          <w:tblCellMar>
            <w:top w:w="0" w:type="dxa"/>
            <w:bottom w:w="0" w:type="dxa"/>
          </w:tblCellMar>
        </w:tblPrEx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3980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LLM provider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B4862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Open Question Q1</w:t>
            </w:r>
          </w:p>
        </w:tc>
        <w:tc>
          <w:tcPr>
            <w:tcW w:w="1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4D8A0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Resolve immediately</w:t>
            </w:r>
          </w:p>
        </w:tc>
        <w:tc>
          <w:tcPr>
            <w:tcW w:w="13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76A3C" w14:textId="77777777" w:rsidR="0017752D" w:rsidRDefault="00000000" w:rsidP="00EC5E44">
            <w:pPr>
              <w:jc w:val="center"/>
            </w:pPr>
            <w:r>
              <w:rPr>
                <w:color w:val="555555"/>
                <w:sz w:val="20"/>
                <w:szCs w:val="20"/>
              </w:rPr>
              <w:t>Blocks all prompt engineering and cost modelling.</w:t>
            </w:r>
          </w:p>
        </w:tc>
      </w:tr>
    </w:tbl>
    <w:p w14:paraId="387CA8A3" w14:textId="77777777" w:rsidR="0017752D" w:rsidRDefault="0017752D" w:rsidP="00EF3A6B">
      <w:pPr>
        <w:spacing w:before="60" w:after="60"/>
        <w:jc w:val="both"/>
      </w:pPr>
    </w:p>
    <w:p w14:paraId="33BF7389" w14:textId="77777777" w:rsidR="00AB28AA" w:rsidRDefault="00AB28AA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215E416B" w14:textId="3DB0692B" w:rsidR="0017752D" w:rsidRDefault="00000000" w:rsidP="00EF3A6B">
      <w:pPr>
        <w:pStyle w:val="Heading1"/>
        <w:jc w:val="both"/>
      </w:pPr>
      <w:r>
        <w:lastRenderedPageBreak/>
        <w:t>6. Target Customer Analysis</w:t>
      </w:r>
    </w:p>
    <w:p w14:paraId="3800754C" w14:textId="173E71CF" w:rsidR="0017752D" w:rsidRDefault="00000000" w:rsidP="00EF3A6B">
      <w:pPr>
        <w:spacing w:before="80" w:after="120"/>
        <w:jc w:val="both"/>
      </w:pPr>
      <w:r>
        <w:rPr>
          <w:color w:val="555555"/>
        </w:rPr>
        <w:t>The PRD identifies four target user segments. This section validates those segments against market research and adds commercially prioritised sub</w:t>
      </w:r>
      <w:r w:rsidR="00EF3A6B">
        <w:rPr>
          <w:color w:val="555555"/>
        </w:rPr>
        <w:t>-</w:t>
      </w:r>
      <w:r>
        <w:rPr>
          <w:color w:val="555555"/>
        </w:rPr>
        <w:t>segments with sizing and acquisition approach.</w:t>
      </w:r>
    </w:p>
    <w:p w14:paraId="04A0ACC5" w14:textId="77777777" w:rsidR="0017752D" w:rsidRDefault="0017752D" w:rsidP="00EF3A6B">
      <w:pPr>
        <w:spacing w:before="60" w:after="60"/>
        <w:jc w:val="both"/>
      </w:pPr>
    </w:p>
    <w:p w14:paraId="2310B1F9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6.1 Tier 1 — Immediate Priority (V1.0 MVP)</w:t>
      </w:r>
    </w:p>
    <w:p w14:paraId="52885DF8" w14:textId="217B7C1F" w:rsidR="0017752D" w:rsidRDefault="00000000" w:rsidP="00EF3A6B">
      <w:pPr>
        <w:spacing w:before="80" w:after="120"/>
        <w:jc w:val="both"/>
      </w:pPr>
      <w:r>
        <w:rPr>
          <w:b/>
          <w:bCs/>
          <w:color w:val="1B3B5F"/>
        </w:rPr>
        <w:t>1. Mid</w:t>
      </w:r>
      <w:r w:rsidR="00EF3A6B">
        <w:rPr>
          <w:b/>
          <w:bCs/>
          <w:color w:val="1B3B5F"/>
        </w:rPr>
        <w:t>-</w:t>
      </w:r>
      <w:r>
        <w:rPr>
          <w:b/>
          <w:bCs/>
          <w:color w:val="1B3B5F"/>
        </w:rPr>
        <w:t>Market Financial Services (Banks, Asset Managers, Insurance)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7289"/>
      </w:tblGrid>
      <w:tr w:rsidR="0017752D" w14:paraId="18ED0B8D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9DBFE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7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98480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7752D" w14:paraId="252ABA77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0ED06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Why this segment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1DFFD" w14:textId="09FA445E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 xml:space="preserve">Financial services </w:t>
            </w:r>
            <w:r w:rsidR="00AB28AA">
              <w:rPr>
                <w:color w:val="555555"/>
                <w:sz w:val="20"/>
                <w:szCs w:val="20"/>
              </w:rPr>
              <w:t>have</w:t>
            </w:r>
            <w:r>
              <w:rPr>
                <w:color w:val="555555"/>
                <w:sz w:val="20"/>
                <w:szCs w:val="20"/>
              </w:rPr>
              <w:t xml:space="preserve"> the highest ERM adoption rate, the most structured risk frameworks (Basel III, IFRS 9, DORA), and the clearest ROI language (DV01 Delta, liquidity ratios, regulatory capital) — all visible in the UI artefacts</w:t>
            </w:r>
          </w:p>
        </w:tc>
      </w:tr>
      <w:tr w:rsidR="0017752D" w14:paraId="2EA5BC2C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01AA1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Evidence from artefacts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A838D" w14:textId="010E3E66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The Financial Liquidity Module in the prototypes (DV01 Delta, Macaulay Duration, Liquidity Coverage, Net Interest Margin, Basel III compliance) is purpose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built for this segment</w:t>
            </w:r>
          </w:p>
        </w:tc>
      </w:tr>
      <w:tr w:rsidR="0017752D" w14:paraId="688411C2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0B8E1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Market size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161DD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Financial services accounts for the largest share of the $6B+ ERM market. North America alone is $2.41B (38% of total market)</w:t>
            </w:r>
          </w:p>
        </w:tc>
      </w:tr>
      <w:tr w:rsidR="0017752D" w14:paraId="5EEF6585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A1B57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Decision maker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7A69A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CRO (Chief Risk Officer), CFO, Head of Risk Analytics</w:t>
            </w:r>
          </w:p>
        </w:tc>
      </w:tr>
      <w:tr w:rsidR="0017752D" w14:paraId="7743EF77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677A9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Pain point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947C9" w14:textId="34DF3622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Manual quarterly risk reporting, siloed departmental data, no AI correlation across financial 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domains</w:t>
            </w:r>
          </w:p>
        </w:tc>
      </w:tr>
      <w:tr w:rsidR="0017752D" w14:paraId="479F8EAB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69568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Acquisition path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E5CEC" w14:textId="0139E886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Fintech conferences (Sibos, Money20/20), CRO/CFO networks, direct outreach to mid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market banks (assets $1B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$50B) — not large enough for MetricStream but too complex for spreadsheets</w:t>
            </w:r>
          </w:p>
        </w:tc>
      </w:tr>
      <w:tr w:rsidR="0017752D" w14:paraId="1213DCE7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11428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Pricing sensitivity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F1ACC" w14:textId="74941581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Medium — will pay for compliance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grade outputs and investor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ready exports</w:t>
            </w:r>
          </w:p>
        </w:tc>
      </w:tr>
    </w:tbl>
    <w:p w14:paraId="1F0E46C3" w14:textId="77777777" w:rsidR="0017752D" w:rsidRDefault="0017752D" w:rsidP="00EF3A6B">
      <w:pPr>
        <w:spacing w:before="60" w:after="60"/>
        <w:jc w:val="both"/>
      </w:pPr>
    </w:p>
    <w:p w14:paraId="2C7BED0A" w14:textId="77777777" w:rsidR="00AB28AA" w:rsidRDefault="00AB28AA">
      <w:pPr>
        <w:rPr>
          <w:b/>
          <w:bCs/>
          <w:color w:val="1B3B5F"/>
        </w:rPr>
      </w:pPr>
      <w:r>
        <w:rPr>
          <w:b/>
          <w:bCs/>
          <w:color w:val="1B3B5F"/>
        </w:rPr>
        <w:br w:type="page"/>
      </w:r>
    </w:p>
    <w:p w14:paraId="01BD6D34" w14:textId="52C00B3C" w:rsidR="0017752D" w:rsidRDefault="00000000" w:rsidP="00EF3A6B">
      <w:pPr>
        <w:spacing w:before="80" w:after="120"/>
        <w:jc w:val="both"/>
      </w:pPr>
      <w:r>
        <w:rPr>
          <w:b/>
          <w:bCs/>
          <w:color w:val="1B3B5F"/>
        </w:rPr>
        <w:lastRenderedPageBreak/>
        <w:t>2. Telecom Service Providers (Regional and National)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7289"/>
      </w:tblGrid>
      <w:tr w:rsidR="0017752D" w14:paraId="49515148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30682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7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D7FED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7752D" w14:paraId="45B8FF54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81B1C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Why this segment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4E6D9" w14:textId="47DD26AD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Explicitly called out in PRD. SLA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linked domain monitoring is a genuine unmet need — telecom operations risk (network uptime, latency, regulatory compliance, supply chain for hardware) maps perfectly to the Module architecture</w:t>
            </w:r>
          </w:p>
        </w:tc>
      </w:tr>
      <w:tr w:rsidR="0017752D" w14:paraId="02AE3D74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813F4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Evidence from artefacts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25AB2" w14:textId="43078FFE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Pipeline monitor shows network/infrastructure domains. The five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level hierarchy supports telecom's layered operational risk structure</w:t>
            </w:r>
          </w:p>
        </w:tc>
      </w:tr>
      <w:tr w:rsidR="0017752D" w14:paraId="77B8E281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835FF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Market size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C73F2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Telecom is one of the highest CAGR verticals in the ERM market due to cloud migration, 5G rollout risk, and supply chain dependencies</w:t>
            </w:r>
          </w:p>
        </w:tc>
      </w:tr>
      <w:tr w:rsidR="0017752D" w14:paraId="53A21549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655AB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Decision maker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13CB0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CTO, VP Network Operations, Head of Regulatory Affairs</w:t>
            </w:r>
          </w:p>
        </w:tc>
      </w:tr>
      <w:tr w:rsidR="0017752D" w14:paraId="4E94AA75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77A33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Pain point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7A07C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SLA breach prediction, network risk quantification for regulator reporting, supply chain visibility</w:t>
            </w:r>
          </w:p>
        </w:tc>
      </w:tr>
      <w:tr w:rsidR="0017752D" w14:paraId="03C8128C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C3C9F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Acquisition path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E6BBD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TelecomTechAsia, MEF conferences, direct outreach to Tier 2/3 telcos in APAC and Middle East (fastest growing ERM regions)</w:t>
            </w:r>
          </w:p>
        </w:tc>
      </w:tr>
      <w:tr w:rsidR="0017752D" w14:paraId="6296E829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C3304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Pricing sensitivity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DF619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Low to medium — operational risk management has direct financial consequences (SLA penalties)</w:t>
            </w:r>
          </w:p>
        </w:tc>
      </w:tr>
    </w:tbl>
    <w:p w14:paraId="525546E2" w14:textId="77777777" w:rsidR="0017752D" w:rsidRDefault="0017752D" w:rsidP="00EF3A6B">
      <w:pPr>
        <w:spacing w:before="60" w:after="60"/>
        <w:jc w:val="both"/>
      </w:pPr>
    </w:p>
    <w:p w14:paraId="2C8D2BB6" w14:textId="713EB9AC" w:rsidR="0017752D" w:rsidRDefault="00000000" w:rsidP="00EF3A6B">
      <w:pPr>
        <w:spacing w:before="80" w:after="120"/>
        <w:jc w:val="both"/>
      </w:pPr>
      <w:r>
        <w:rPr>
          <w:b/>
          <w:bCs/>
          <w:color w:val="1B3B5F"/>
        </w:rPr>
        <w:t>3. Conglomerates and Multi</w:t>
      </w:r>
      <w:r w:rsidR="00EF3A6B">
        <w:rPr>
          <w:b/>
          <w:bCs/>
          <w:color w:val="1B3B5F"/>
        </w:rPr>
        <w:t>-</w:t>
      </w:r>
      <w:r>
        <w:rPr>
          <w:b/>
          <w:bCs/>
          <w:color w:val="1B3B5F"/>
        </w:rPr>
        <w:t>Division Enterprises (Energy, Manufacturing, Logistics)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7752D" w14:paraId="0A2A60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2B644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71DAE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7752D" w14:paraId="7BE258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506DE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Why this segment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530EB" w14:textId="75C68B1A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The PRD explicitly targets Group CFO / Strategy Head at conglomerates. The consolidated enterprise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level AI report (synthesised from 12 modules) is the primary value proposition for this persona</w:t>
            </w:r>
          </w:p>
        </w:tc>
      </w:tr>
      <w:tr w:rsidR="0017752D" w14:paraId="45CB53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0AC41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Evidence from artefacts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D1780" w14:textId="315C4D92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AI Decision Hub's 'Ranked Risk Vectors' (Cybersecurity + Global Logistics + Fiscal Policy in one view) is exactly the cross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domain synthesis a Group CFO needs</w:t>
            </w:r>
          </w:p>
        </w:tc>
      </w:tr>
      <w:tr w:rsidR="0017752D" w14:paraId="62C24A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BCD0D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Market size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627D0" w14:textId="653A02F5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Large enterprises with complex multi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domain risk are the highest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spending ERM segment. They are currently served by MetricStream or Archer at very high cost and long implementation times</w:t>
            </w:r>
          </w:p>
        </w:tc>
      </w:tr>
      <w:tr w:rsidR="0017752D" w14:paraId="161875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A446B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Decision maker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F96C8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Group CFO, Chief Strategy Officer, Group CRO</w:t>
            </w:r>
          </w:p>
        </w:tc>
      </w:tr>
      <w:tr w:rsidR="0017752D" w14:paraId="74126A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6A9AA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Pain point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7AD5B" w14:textId="315B31CB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No single view of cross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domain risk, investor/board reporting is manual and inconsistent, no AI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generated cross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domain correlation</w:t>
            </w:r>
          </w:p>
        </w:tc>
      </w:tr>
      <w:tr w:rsidR="0017752D" w14:paraId="13CC41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26668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Acquisition path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F603F" w14:textId="06113680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Direct sales to CFO/CRO offices of mid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large conglomerates ($500M+ revenue), analyst relations with Gartner/Forrester to get on evaluation shortlists</w:t>
            </w:r>
          </w:p>
        </w:tc>
      </w:tr>
      <w:tr w:rsidR="0017752D" w14:paraId="6C1057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B780A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Pricing sensitivity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8E46F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Low — willing to pay significant amounts for a platform that replaces $200k+ annual consulting bills for risk reporting</w:t>
            </w:r>
          </w:p>
        </w:tc>
      </w:tr>
    </w:tbl>
    <w:p w14:paraId="49EB80E7" w14:textId="77777777" w:rsidR="0017752D" w:rsidRDefault="0017752D" w:rsidP="00EF3A6B">
      <w:pPr>
        <w:spacing w:before="60" w:after="60"/>
        <w:jc w:val="both"/>
      </w:pPr>
    </w:p>
    <w:p w14:paraId="4F611729" w14:textId="77777777" w:rsidR="00AB28AA" w:rsidRDefault="00AB28AA">
      <w:pPr>
        <w:rPr>
          <w:b/>
          <w:bCs/>
          <w:color w:val="1B3B5F"/>
          <w:sz w:val="30"/>
          <w:szCs w:val="30"/>
        </w:rPr>
      </w:pPr>
      <w:r>
        <w:rPr>
          <w:color w:val="1B3B5F"/>
        </w:rPr>
        <w:br w:type="page"/>
      </w:r>
    </w:p>
    <w:p w14:paraId="6ABCF7C1" w14:textId="29417638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lastRenderedPageBreak/>
        <w:t>6.2 Tier 2 — Medium</w:t>
      </w:r>
      <w:r w:rsidR="00EF3A6B">
        <w:rPr>
          <w:color w:val="1B3B5F"/>
        </w:rPr>
        <w:t>-</w:t>
      </w:r>
      <w:r>
        <w:rPr>
          <w:color w:val="1B3B5F"/>
        </w:rPr>
        <w:t>Term Priority (V1.1 / V2.0)</w:t>
      </w:r>
    </w:p>
    <w:p w14:paraId="6E799F25" w14:textId="5853FB56" w:rsidR="0017752D" w:rsidRDefault="00000000" w:rsidP="00EF3A6B">
      <w:pPr>
        <w:spacing w:before="80" w:after="120"/>
        <w:jc w:val="both"/>
      </w:pPr>
      <w:r>
        <w:rPr>
          <w:b/>
          <w:bCs/>
          <w:color w:val="003582"/>
        </w:rPr>
        <w:t>4. SME Businesses ($10M</w:t>
      </w:r>
      <w:r w:rsidR="00EF3A6B">
        <w:rPr>
          <w:b/>
          <w:bCs/>
          <w:color w:val="003582"/>
        </w:rPr>
        <w:t>-</w:t>
      </w:r>
      <w:r>
        <w:rPr>
          <w:b/>
          <w:bCs/>
          <w:color w:val="003582"/>
        </w:rPr>
        <w:t>$500M revenue, any sector)</w:t>
      </w:r>
    </w:p>
    <w:p w14:paraId="4ADB4E32" w14:textId="7777777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The PRD lists 'SME Businesses / Business Owner / COO' as a target, and the spreadsheet displacement opportunity is enormous (59% still on spreadsheets)</w:t>
      </w:r>
    </w:p>
    <w:p w14:paraId="5A53A276" w14:textId="1F67A070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However, SMEs require a simplified UI and lower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 xml:space="preserve">touch onboarding — the current </w:t>
      </w:r>
      <w:r w:rsidR="00EF3A6B">
        <w:rPr>
          <w:color w:val="555555"/>
          <w:sz w:val="21"/>
          <w:szCs w:val="21"/>
        </w:rPr>
        <w:t>TBD2</w:t>
      </w:r>
      <w:r>
        <w:rPr>
          <w:color w:val="555555"/>
          <w:sz w:val="21"/>
          <w:szCs w:val="21"/>
        </w:rPr>
        <w:t xml:space="preserve"> design is executive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dense and complex, which may overwhelm an SME COO</w:t>
      </w:r>
    </w:p>
    <w:p w14:paraId="558C81F3" w14:textId="5774BCE6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Recommended V2.0 feature: a simplified SME mode with 3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5 core modules vs the full 12, a streamlined dashboard, and self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service onboarding</w:t>
      </w:r>
    </w:p>
    <w:p w14:paraId="0A623580" w14:textId="20D9C571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Pricing: $500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$2,000/month SaaS subscription. High volume, lower ACV.</w:t>
      </w:r>
    </w:p>
    <w:p w14:paraId="74AB2A64" w14:textId="77777777" w:rsidR="0017752D" w:rsidRDefault="0017752D" w:rsidP="00EF3A6B">
      <w:pPr>
        <w:spacing w:before="60" w:after="60"/>
        <w:jc w:val="both"/>
      </w:pPr>
    </w:p>
    <w:p w14:paraId="658635B0" w14:textId="77777777" w:rsidR="0017752D" w:rsidRDefault="00000000" w:rsidP="00EF3A6B">
      <w:pPr>
        <w:spacing w:before="80" w:after="120"/>
        <w:jc w:val="both"/>
      </w:pPr>
      <w:r>
        <w:rPr>
          <w:b/>
          <w:bCs/>
          <w:color w:val="003582"/>
        </w:rPr>
        <w:t>5. Management Consulting Firms (Big 4, Boutique Risk Consultancies)</w:t>
      </w:r>
    </w:p>
    <w:p w14:paraId="68C68869" w14:textId="68072C15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 xml:space="preserve">Consulting firms advising enterprise clients on risk management could use </w:t>
      </w:r>
      <w:r w:rsidR="00EF3A6B">
        <w:rPr>
          <w:color w:val="555555"/>
          <w:sz w:val="21"/>
          <w:szCs w:val="21"/>
        </w:rPr>
        <w:t>TBD2</w:t>
      </w:r>
      <w:r>
        <w:rPr>
          <w:color w:val="555555"/>
          <w:sz w:val="21"/>
          <w:szCs w:val="21"/>
        </w:rPr>
        <w:t xml:space="preserve"> as their delivery platform — white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labelling or reseller model</w:t>
      </w:r>
    </w:p>
    <w:p w14:paraId="236C1E6E" w14:textId="20A33134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High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value: each consulting firm brings multiple enterprise client accounts</w:t>
      </w:r>
    </w:p>
    <w:p w14:paraId="05D82639" w14:textId="27D11856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Aligns with V2.0 multi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tenancy roadmap — one consulting firm, many client tenants</w:t>
      </w:r>
    </w:p>
    <w:p w14:paraId="503F1E64" w14:textId="77777777" w:rsidR="0017752D" w:rsidRDefault="0017752D" w:rsidP="00EF3A6B">
      <w:pPr>
        <w:spacing w:before="60" w:after="60"/>
        <w:jc w:val="both"/>
      </w:pPr>
    </w:p>
    <w:p w14:paraId="207DB952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6.3 Geographies — Priority Order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2243"/>
        <w:gridCol w:w="1495"/>
        <w:gridCol w:w="3551"/>
      </w:tblGrid>
      <w:tr w:rsidR="0017752D" w14:paraId="58FECE5E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B5436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154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A51CB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Share (2026)</w:t>
            </w:r>
          </w:p>
        </w:tc>
        <w:tc>
          <w:tcPr>
            <w:tcW w:w="76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098BC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27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042C8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752D" w14:paraId="2EBB133E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FD29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North America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E36D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38% ($2.41B)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B472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TIER 1</w:t>
            </w:r>
          </w:p>
        </w:tc>
        <w:tc>
          <w:tcPr>
            <w:tcW w:w="1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5639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Largest market, highest ERM maturity, densest enterprise concentration</w:t>
            </w:r>
          </w:p>
        </w:tc>
      </w:tr>
      <w:tr w:rsidR="0017752D" w14:paraId="41AD6915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DF48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Europe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A07E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29%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DF93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TIER 1</w:t>
            </w:r>
          </w:p>
        </w:tc>
        <w:tc>
          <w:tcPr>
            <w:tcW w:w="1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F8E9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EU AI Act and GDPR creating urgent compliance demand</w:t>
            </w:r>
          </w:p>
        </w:tc>
      </w:tr>
      <w:tr w:rsidR="0017752D" w14:paraId="65297C15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50FA4" w14:textId="4F1C3B25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Asia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Pacific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5C53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23%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BC97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TIER 2</w:t>
            </w:r>
          </w:p>
        </w:tc>
        <w:tc>
          <w:tcPr>
            <w:tcW w:w="1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D999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Fastest growing — APAC telcos and financial services are immediate targets</w:t>
            </w:r>
          </w:p>
        </w:tc>
      </w:tr>
      <w:tr w:rsidR="0017752D" w14:paraId="29812E7A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A3030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Middle East &amp; Africa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74CE5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10%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FDD48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TIER 3</w:t>
            </w:r>
          </w:p>
        </w:tc>
        <w:tc>
          <w:tcPr>
            <w:tcW w:w="1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EB84D" w14:textId="2783088D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Emerging — relevant for V2.0 when multi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tenancy enables regional deployments</w:t>
            </w:r>
          </w:p>
        </w:tc>
      </w:tr>
    </w:tbl>
    <w:p w14:paraId="5BE0CEC1" w14:textId="77777777" w:rsidR="0017752D" w:rsidRDefault="0017752D" w:rsidP="00EF3A6B">
      <w:pPr>
        <w:spacing w:before="60" w:after="60"/>
        <w:jc w:val="both"/>
      </w:pPr>
    </w:p>
    <w:p w14:paraId="7085AA19" w14:textId="77777777" w:rsidR="00AB28AA" w:rsidRDefault="00AB28AA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5A68AECC" w14:textId="5AC27169" w:rsidR="0017752D" w:rsidRDefault="00000000" w:rsidP="00EF3A6B">
      <w:pPr>
        <w:pStyle w:val="Heading1"/>
        <w:jc w:val="both"/>
      </w:pPr>
      <w:r>
        <w:lastRenderedPageBreak/>
        <w:t>7. Critical Decisions Required Before Week 1 Coding</w:t>
      </w:r>
    </w:p>
    <w:p w14:paraId="7D06A0D2" w14:textId="3A730581" w:rsidR="0017752D" w:rsidRDefault="00000000" w:rsidP="00EF3A6B">
      <w:pPr>
        <w:spacing w:before="80" w:after="120"/>
        <w:jc w:val="both"/>
      </w:pPr>
      <w:r>
        <w:rPr>
          <w:color w:val="555555"/>
        </w:rPr>
        <w:t>Based on the full analysis, the following decisions must be made by all three co</w:t>
      </w:r>
      <w:r w:rsidR="00EF3A6B">
        <w:rPr>
          <w:color w:val="555555"/>
        </w:rPr>
        <w:t>-</w:t>
      </w:r>
      <w:r>
        <w:rPr>
          <w:color w:val="555555"/>
        </w:rPr>
        <w:t>founders before any code is written. Each is blocking a different workstream.</w:t>
      </w:r>
    </w:p>
    <w:p w14:paraId="02549AE5" w14:textId="77777777" w:rsidR="0017752D" w:rsidRDefault="0017752D" w:rsidP="00EF3A6B">
      <w:pPr>
        <w:spacing w:before="60" w:after="6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3292"/>
        <w:gridCol w:w="2472"/>
        <w:gridCol w:w="1483"/>
        <w:gridCol w:w="1893"/>
      </w:tblGrid>
      <w:tr w:rsidR="0017752D" w14:paraId="6612C9C8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6E763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93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76A2E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27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12D70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Blocking</w:t>
            </w:r>
          </w:p>
        </w:tc>
        <w:tc>
          <w:tcPr>
            <w:tcW w:w="763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905DF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974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2E9DF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</w:tr>
      <w:tr w:rsidR="0017752D" w14:paraId="748A0CA0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3D93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D1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111D5" w14:textId="474D66D2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Confirm the exact list of 12 Modules and their 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Module/Group hierarchy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6062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DB schema design, pipeline wrappers, all backend work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6BD9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All three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519C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1 Day 1</w:t>
            </w:r>
          </w:p>
        </w:tc>
      </w:tr>
      <w:tr w:rsidR="0017752D" w14:paraId="1D6AFDDE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35EB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D2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597C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Resolve frontend framework: React SPA + Vite (confirmed recommendation)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C8C8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Frontend architecture setup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7EBB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Tech Lead + UI/UX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A88B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1 Day 1</w:t>
            </w:r>
          </w:p>
        </w:tc>
      </w:tr>
      <w:tr w:rsidR="0017752D" w14:paraId="31B00282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9E20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D3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0D8B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Resolve backend framework: FastAPI only (confirmed recommendation)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7E5B0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Backend scaffold, API contract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363A9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Tech Lead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3123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1 Day 1</w:t>
            </w:r>
          </w:p>
        </w:tc>
      </w:tr>
      <w:tr w:rsidR="0017752D" w14:paraId="72CB1298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D0660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D4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A5FD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Confirm LLM provider (Anthropic / OpenAI / Gemini)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BF2E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Prompt engineering, API wrapper, cost modelling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2776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All three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BDBC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1 Day 1</w:t>
            </w:r>
          </w:p>
        </w:tc>
      </w:tr>
      <w:tr w:rsidR="0017752D" w14:paraId="41748294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53EF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D5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E4DCC" w14:textId="48426578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Confirm deployment target: Cloud SaaS or on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premise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B5584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Infrastructure architecture, secrets management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C6A9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All three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20131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1 Day 2</w:t>
            </w:r>
          </w:p>
        </w:tc>
      </w:tr>
      <w:tr w:rsidR="0017752D" w14:paraId="27415D65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2301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D6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B073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Add SSE/WebSocket for pipeline status push to API contract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1B42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Pipeline Monitor live progress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94C2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Tech Lead + ML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C5EE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1 Day 3 (contract freeze)</w:t>
            </w:r>
          </w:p>
        </w:tc>
      </w:tr>
      <w:tr w:rsidR="0017752D" w14:paraId="60924B83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8BC3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D7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A541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Define confidence scoring methodology (statistical model)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9C236" w14:textId="27758168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Confidence engine in Week 5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C7E1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ML Partner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EF8F9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3 at latest</w:t>
            </w:r>
          </w:p>
        </w:tc>
      </w:tr>
      <w:tr w:rsidR="0017752D" w14:paraId="253A1A7B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2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7BF8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D8</w:t>
            </w:r>
          </w:p>
        </w:tc>
        <w:tc>
          <w:tcPr>
            <w:tcW w:w="16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B56D7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Specify Emergency Override, Force Recalc, Deploy New Watcher, Rollback Last Domain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F43CF" w14:textId="26F986DE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Sprint 3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4 screen completeness</w:t>
            </w:r>
          </w:p>
        </w:tc>
        <w:tc>
          <w:tcPr>
            <w:tcW w:w="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91D8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All three</w:t>
            </w:r>
          </w:p>
        </w:tc>
        <w:tc>
          <w:tcPr>
            <w:tcW w:w="9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EF99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Week 2</w:t>
            </w:r>
          </w:p>
        </w:tc>
      </w:tr>
    </w:tbl>
    <w:p w14:paraId="4116A77E" w14:textId="77777777" w:rsidR="0017752D" w:rsidRDefault="0017752D" w:rsidP="00EF3A6B">
      <w:pPr>
        <w:spacing w:before="60" w:after="60"/>
        <w:jc w:val="both"/>
      </w:pPr>
    </w:p>
    <w:p w14:paraId="4A3ADC6C" w14:textId="77777777" w:rsidR="00AB28AA" w:rsidRDefault="00AB28AA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1D245934" w14:textId="52DB82EF" w:rsidR="0017752D" w:rsidRDefault="00000000" w:rsidP="00EF3A6B">
      <w:pPr>
        <w:pStyle w:val="Heading1"/>
        <w:jc w:val="both"/>
      </w:pPr>
      <w:r>
        <w:lastRenderedPageBreak/>
        <w:t>8. Unspecced UI Elements — Engineering Risk Register</w:t>
      </w:r>
    </w:p>
    <w:p w14:paraId="167EDDDC" w14:textId="0D3CAE23" w:rsidR="0017752D" w:rsidRDefault="00000000" w:rsidP="00EF3A6B">
      <w:pPr>
        <w:spacing w:before="80" w:after="120"/>
        <w:jc w:val="both"/>
      </w:pPr>
      <w:r>
        <w:rPr>
          <w:color w:val="555555"/>
        </w:rPr>
        <w:t>The following 10 elements are visible in the design artefacts but have no corresponding Functional Requirements in the PRD. If specced mid</w:t>
      </w:r>
      <w:r w:rsidR="00EF3A6B">
        <w:rPr>
          <w:color w:val="555555"/>
        </w:rPr>
        <w:t>-</w:t>
      </w:r>
      <w:r>
        <w:rPr>
          <w:color w:val="555555"/>
        </w:rPr>
        <w:t>sprint, they will break the 8</w:t>
      </w:r>
      <w:r w:rsidR="00EF3A6B">
        <w:rPr>
          <w:color w:val="555555"/>
        </w:rPr>
        <w:t>-</w:t>
      </w:r>
      <w:r>
        <w:rPr>
          <w:color w:val="555555"/>
        </w:rPr>
        <w:t>week delivery timeline.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2243"/>
        <w:gridCol w:w="1495"/>
        <w:gridCol w:w="3489"/>
      </w:tblGrid>
      <w:tr w:rsidR="0017752D" w14:paraId="73CF41ED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1FCB8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154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8D05E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769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EA8D3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1795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F781A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17752D" w14:paraId="0CC19D59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1220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EMERGENCY OVERRIDE button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4176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All screens (sidebar)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38E2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HIGH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275E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Spec or remove before Week 1 Day 3</w:t>
            </w:r>
          </w:p>
        </w:tc>
      </w:tr>
      <w:tr w:rsidR="0017752D" w14:paraId="5C6948A3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E19E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Force Recalc button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57495" w14:textId="1E6328AE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Module Detail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6701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HIGH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6F4C7" w14:textId="25F75A1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Is this Admin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only? Full pipeline or local calc?</w:t>
            </w:r>
          </w:p>
        </w:tc>
      </w:tr>
      <w:tr w:rsidR="0017752D" w14:paraId="12DDF9D7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486F5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Rollback Last Domain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A348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Pipeline Monitor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D07FD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HIGH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8478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Define what rollback means (DB state? pipeline output?)</w:t>
            </w:r>
          </w:p>
        </w:tc>
      </w:tr>
      <w:tr w:rsidR="0017752D" w14:paraId="4D06AA2B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66C1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Deploy New Watcher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EB1E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Module Dashboard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B160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MEDIUM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8C5B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Spec or defer to V2.0 explicitly</w:t>
            </w:r>
          </w:p>
        </w:tc>
      </w:tr>
      <w:tr w:rsidR="0017752D" w14:paraId="7C54CE02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B0A9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Module Knowledge Base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2FE75" w14:textId="69328C69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Module Detail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884AD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MEDIUM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6C732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Where are files stored? Is it LLM context?</w:t>
            </w:r>
          </w:p>
        </w:tc>
      </w:tr>
      <w:tr w:rsidR="0017752D" w14:paraId="0A50C4CE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024E0" w14:textId="57726808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Report ID format (VL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AI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992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DELTA)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392D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AI Decision Hub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550C5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MEDIUM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86969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Define naming schema before storage design</w:t>
            </w:r>
          </w:p>
        </w:tc>
      </w:tr>
      <w:tr w:rsidR="0017752D" w14:paraId="60480BC8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AB66D" w14:textId="3ECC7C5C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Alert severity levels (Level 1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4)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55826" w14:textId="2F04720F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Sub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Module Detail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3A0D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MEDIUM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F302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Define full severity schema beyond Green/Yellow/Red</w:t>
            </w:r>
          </w:p>
        </w:tc>
      </w:tr>
      <w:tr w:rsidR="0017752D" w14:paraId="407C2C52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8E4F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Heatmap as tab vs separate screen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5252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Module Dashboard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0582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LOW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2FFC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Decide route vs toggle before frontend routing</w:t>
            </w:r>
          </w:p>
        </w:tc>
      </w:tr>
      <w:tr w:rsidR="0017752D" w14:paraId="52371D2F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1F40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Processing rate (12.4GB/s)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4D5C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Pipeline Monitor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B2DE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LOW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CF099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Is this real instrumentation or decorative?</w:t>
            </w:r>
          </w:p>
        </w:tc>
      </w:tr>
      <w:tr w:rsidR="0017752D" w14:paraId="7F4EE433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77ACD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SSO placeholder scope</w:t>
            </w:r>
          </w:p>
        </w:tc>
        <w:tc>
          <w:tcPr>
            <w:tcW w:w="11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EE56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Settings (implied)</w:t>
            </w:r>
          </w:p>
        </w:tc>
        <w:tc>
          <w:tcPr>
            <w:tcW w:w="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4C0C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LOW</w:t>
            </w:r>
          </w:p>
        </w:tc>
        <w:tc>
          <w:tcPr>
            <w:tcW w:w="17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5140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Config field only, or wired up to SAML?</w:t>
            </w:r>
          </w:p>
        </w:tc>
      </w:tr>
    </w:tbl>
    <w:p w14:paraId="1095828C" w14:textId="77777777" w:rsidR="0017752D" w:rsidRDefault="0017752D" w:rsidP="00EF3A6B">
      <w:pPr>
        <w:spacing w:before="60" w:after="60"/>
        <w:jc w:val="both"/>
      </w:pPr>
    </w:p>
    <w:p w14:paraId="23781861" w14:textId="77777777" w:rsidR="00AB28AA" w:rsidRDefault="00AB28AA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52BDFED0" w14:textId="4F26EDA8" w:rsidR="0017752D" w:rsidRDefault="00000000" w:rsidP="00EF3A6B">
      <w:pPr>
        <w:pStyle w:val="Heading1"/>
        <w:jc w:val="both"/>
      </w:pPr>
      <w:r>
        <w:lastRenderedPageBreak/>
        <w:t>9. Revised Technology Stack Recommendation</w:t>
      </w:r>
    </w:p>
    <w:p w14:paraId="5DE5561D" w14:textId="6B334593" w:rsidR="0017752D" w:rsidRDefault="00000000" w:rsidP="00EF3A6B">
      <w:pPr>
        <w:spacing w:before="80" w:after="120"/>
        <w:jc w:val="both"/>
      </w:pPr>
      <w:r>
        <w:rPr>
          <w:color w:val="555555"/>
        </w:rPr>
        <w:t>The following is the recommended production</w:t>
      </w:r>
      <w:r w:rsidR="00EF3A6B">
        <w:rPr>
          <w:color w:val="555555"/>
        </w:rPr>
        <w:t>-</w:t>
      </w:r>
      <w:r>
        <w:rPr>
          <w:color w:val="555555"/>
        </w:rPr>
        <w:t xml:space="preserve">grade stack for </w:t>
      </w:r>
      <w:r w:rsidR="00EF3A6B">
        <w:rPr>
          <w:color w:val="555555"/>
        </w:rPr>
        <w:t>TBD2</w:t>
      </w:r>
      <w:r>
        <w:rPr>
          <w:color w:val="555555"/>
        </w:rPr>
        <w:t xml:space="preserve">, </w:t>
      </w:r>
      <w:r w:rsidR="00AB28AA">
        <w:rPr>
          <w:color w:val="555555"/>
        </w:rPr>
        <w:t xml:space="preserve">with </w:t>
      </w:r>
      <w:r>
        <w:rPr>
          <w:color w:val="555555"/>
        </w:rPr>
        <w:t>all research 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80"/>
        <w:gridCol w:w="2880"/>
        <w:gridCol w:w="2700"/>
      </w:tblGrid>
      <w:tr w:rsidR="0017752D" w14:paraId="0623C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58D99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980" w:type="dxa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5F21C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F99C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700" w:type="dxa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59C8F" w14:textId="77777777" w:rsidR="0017752D" w:rsidRDefault="00000000" w:rsidP="00AB28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7752D" w14:paraId="521E7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56B65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Presentation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5BDD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React SPA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1754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React 18 + Vite + TailwindCSS + Recharts/D3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861A" w14:textId="0DEB9664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Best for auth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gated, interactive dashboards. Vite replaces CRA for 10x faster builds.</w:t>
            </w:r>
          </w:p>
        </w:tc>
      </w:tr>
      <w:tr w:rsidR="0017752D" w14:paraId="75C11F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FEE89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Presentation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EF31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State management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13E0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Zustand or TanStack Query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58FF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Lightweight, no Redux complexity. TanStack Query for server state.</w:t>
            </w:r>
          </w:p>
        </w:tc>
      </w:tr>
      <w:tr w:rsidR="0017752D" w14:paraId="05E4C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F79E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3B9D4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REST API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CD4F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FastAPI (Python 3.11+)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3684A" w14:textId="55A32CBD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Native async, 3000+ RPS, built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in OpenAPI docs, perfect for LLM relay.</w:t>
            </w:r>
          </w:p>
        </w:tc>
      </w:tr>
      <w:tr w:rsidR="0017752D" w14:paraId="659945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A29E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7000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Async pipelines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8D65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Celery + chord pattern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3EAF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12+1 LLM barrier/join maps exactly to Celery chord primitive.</w:t>
            </w:r>
          </w:p>
        </w:tc>
      </w:tr>
      <w:tr w:rsidR="0017752D" w14:paraId="5D58C3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1401F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5C9BD" w14:textId="22163B8E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Real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time push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947C1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FastAPI SSE endpoints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286C4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Pipeline progress, alert streaming. Native to FastAPI. No extra infra.</w:t>
            </w:r>
          </w:p>
        </w:tc>
      </w:tr>
      <w:tr w:rsidR="0017752D" w14:paraId="43775B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03F5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AI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A14C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LLM integration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C67B9" w14:textId="3904FBED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LiteLLM wrapper (model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agnostic)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3CB9E" w14:textId="45A81AEF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Single interface for Anthropic/OpenAI/Gemini. Handles </w:t>
            </w:r>
            <w:r w:rsidR="00AB28AA">
              <w:rPr>
                <w:color w:val="555555"/>
                <w:sz w:val="20"/>
                <w:szCs w:val="20"/>
              </w:rPr>
              <w:t>retry</w:t>
            </w:r>
            <w:r>
              <w:rPr>
                <w:color w:val="555555"/>
                <w:sz w:val="20"/>
                <w:szCs w:val="20"/>
              </w:rPr>
              <w:t>, rate limits, caching.</w:t>
            </w:r>
          </w:p>
        </w:tc>
      </w:tr>
      <w:tr w:rsidR="0017752D" w14:paraId="43DF6F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D7FE1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AI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FB960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Prompt management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75B2A" w14:textId="5FF3EE6E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DB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stored templates (PostgreSQL)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11215" w14:textId="4E514D48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Version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controlled, Super Admin editable, required by PRD.</w:t>
            </w:r>
          </w:p>
        </w:tc>
      </w:tr>
      <w:tr w:rsidR="0017752D" w14:paraId="04004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41F24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Data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BA30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Primary DB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A6CF5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PostgreSQL 15+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2C0ED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Recursive CTEs for hierarchy, JSONB for LLM response storage.</w:t>
            </w:r>
          </w:p>
        </w:tc>
      </w:tr>
      <w:tr w:rsidR="0017752D" w14:paraId="29ED3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F15D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Data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62B9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Cache + broker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2AF5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Redis 7+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EAAD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Celery broker + LLM response cache + session cache.</w:t>
            </w:r>
          </w:p>
        </w:tc>
      </w:tr>
      <w:tr w:rsidR="0017752D" w14:paraId="00ABB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53C5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Data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91E6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Object storage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09A8E" w14:textId="0A46D0DD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MinIO (self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hosted S3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compatible)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60F74" w14:textId="460FD7EE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Free, self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hosted, drop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in S3 replacement for PDF/PPT exports.</w:t>
            </w:r>
          </w:p>
        </w:tc>
      </w:tr>
      <w:tr w:rsidR="0017752D" w14:paraId="533DFE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05A40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Infra V1.0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329FB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Deployment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E7A99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Docker Compose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1EF16" w14:textId="3DC7262B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Reduce complexity for 8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week MVP. Migrate to Kubernetes post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launch.</w:t>
            </w:r>
          </w:p>
        </w:tc>
      </w:tr>
      <w:tr w:rsidR="0017752D" w14:paraId="56FF2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B8A73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Infra V1.1+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B1826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Deployment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A3064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Kubernetes (K8s)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F23D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Once load testing confirms need. Not required for V1.0 single tenant.</w:t>
            </w:r>
          </w:p>
        </w:tc>
      </w:tr>
      <w:tr w:rsidR="0017752D" w14:paraId="570D5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C08B8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Security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72DDE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Secrets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7923C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HashiCorp Vault or cloud secrets manager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1F9EA" w14:textId="77777777" w:rsidR="0017752D" w:rsidRDefault="00000000" w:rsidP="00AB28AA">
            <w:pPr>
              <w:jc w:val="center"/>
            </w:pPr>
            <w:r>
              <w:rPr>
                <w:color w:val="555555"/>
                <w:sz w:val="20"/>
                <w:szCs w:val="20"/>
              </w:rPr>
              <w:t>LLM API keys never in code or env files.</w:t>
            </w:r>
          </w:p>
        </w:tc>
      </w:tr>
    </w:tbl>
    <w:p w14:paraId="0C62E760" w14:textId="77777777" w:rsidR="0017752D" w:rsidRDefault="00000000" w:rsidP="00EF3A6B">
      <w:pPr>
        <w:pStyle w:val="Heading1"/>
        <w:jc w:val="both"/>
      </w:pPr>
      <w:r>
        <w:lastRenderedPageBreak/>
        <w:t>10. Product Gaps &amp; V2.0 Roadmap Recommendations</w:t>
      </w:r>
    </w:p>
    <w:p w14:paraId="4952FD87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10.1 Missing from V1.0 (Should Reconsider)</w:t>
      </w:r>
    </w:p>
    <w:p w14:paraId="0FD511F7" w14:textId="6537EFEE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Real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time data ingestion (at minimum for high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value segments like financial services and telecom) — batch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only creates a credibility gap with enterprise customers who have real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time risk events</w:t>
      </w:r>
    </w:p>
    <w:p w14:paraId="7C1EF61C" w14:textId="7777777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Pricing model — no commercial model in the PRD. The team needs to define SaaS tiers before the first customer conversation</w:t>
      </w:r>
    </w:p>
    <w:p w14:paraId="4AD49804" w14:textId="7777777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Data privacy and residency policy — GDPR/CCPA compliance, data processing agreements. Enterprise customers will ask in procurement.</w:t>
      </w:r>
    </w:p>
    <w:p w14:paraId="58D8B76E" w14:textId="4A343704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At least one native ERP/ITSM integration — even read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only CSV/API import from SAP or ServiceNow would significantly lower onboarding friction</w:t>
      </w:r>
    </w:p>
    <w:p w14:paraId="0D01D8F8" w14:textId="77777777" w:rsidR="0017752D" w:rsidRDefault="0017752D" w:rsidP="00EF3A6B">
      <w:pPr>
        <w:spacing w:before="60" w:after="60"/>
        <w:jc w:val="both"/>
      </w:pPr>
    </w:p>
    <w:p w14:paraId="1AED6C0D" w14:textId="77777777" w:rsidR="0017752D" w:rsidRDefault="00000000" w:rsidP="00EF3A6B">
      <w:pPr>
        <w:pStyle w:val="Heading2"/>
        <w:pBdr>
          <w:bottom w:val="single" w:sz="6" w:space="4" w:color="2E75B6"/>
        </w:pBdr>
        <w:spacing w:before="360" w:after="160"/>
        <w:jc w:val="both"/>
      </w:pPr>
      <w:r>
        <w:rPr>
          <w:color w:val="1B3B5F"/>
        </w:rPr>
        <w:t>10.2 V2.0 Priorities (Confirm Alignment)</w:t>
      </w:r>
    </w:p>
    <w:p w14:paraId="2156ECEA" w14:textId="47F3E942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Multi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tenancy — essential for SaaS scaling. Design the DB schema now with tenant isolation in mind even if V1.0 is single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tenant</w:t>
      </w:r>
    </w:p>
    <w:p w14:paraId="1ECB9DB5" w14:textId="77777777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Agentic AI mode — autonomous pipeline triggering, alert escalation, and remediation suggestion based on threshold breaches</w:t>
      </w:r>
    </w:p>
    <w:p w14:paraId="046DF449" w14:textId="3FA6A72D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Custom domain builder — self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service Module/Sub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Module/Group configuration without engineering involvement</w:t>
      </w:r>
    </w:p>
    <w:p w14:paraId="09414B98" w14:textId="7556A093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Native mobile app (iOS/Android) — executive dashboard access on mobile is expected by C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suite users</w:t>
      </w:r>
    </w:p>
    <w:p w14:paraId="28FDCD1A" w14:textId="1B5C617A" w:rsidR="0017752D" w:rsidRDefault="00000000" w:rsidP="00EF3A6B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555555"/>
          <w:sz w:val="21"/>
          <w:szCs w:val="21"/>
        </w:rPr>
        <w:t>Third</w:t>
      </w:r>
      <w:r w:rsidR="00EF3A6B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party integrations marketplace — SAP, ServiceNow, Salesforce, Jira, Slack/Teams alerts</w:t>
      </w:r>
    </w:p>
    <w:p w14:paraId="2BB231D8" w14:textId="77777777" w:rsidR="0017752D" w:rsidRDefault="0017752D" w:rsidP="00EF3A6B">
      <w:pPr>
        <w:spacing w:before="60" w:after="60"/>
        <w:jc w:val="both"/>
      </w:pPr>
    </w:p>
    <w:p w14:paraId="28BB13D6" w14:textId="77777777" w:rsidR="00AB28AA" w:rsidRDefault="00AB28AA">
      <w:pPr>
        <w:rPr>
          <w:b/>
          <w:bCs/>
          <w:color w:val="1B3B5F"/>
          <w:sz w:val="40"/>
          <w:szCs w:val="40"/>
        </w:rPr>
      </w:pPr>
      <w:r>
        <w:br w:type="page"/>
      </w:r>
    </w:p>
    <w:p w14:paraId="6E2EE550" w14:textId="29010F77" w:rsidR="0017752D" w:rsidRDefault="00000000" w:rsidP="00EF3A6B">
      <w:pPr>
        <w:pStyle w:val="Heading1"/>
        <w:jc w:val="both"/>
      </w:pPr>
      <w:r>
        <w:lastRenderedPageBreak/>
        <w:t>Appendix: Glossary of Key Terms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7289"/>
      </w:tblGrid>
      <w:tr w:rsidR="0017752D" w14:paraId="4D14276F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01099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750" w:type="pct"/>
            <w:tcBorders>
              <w:top w:val="single" w:sz="1" w:space="0" w:color="1B3B5F"/>
              <w:left w:val="single" w:sz="1" w:space="0" w:color="1B3B5F"/>
              <w:bottom w:val="single" w:sz="1" w:space="0" w:color="1B3B5F"/>
              <w:right w:val="single" w:sz="1" w:space="0" w:color="1B3B5F"/>
            </w:tcBorders>
            <w:shd w:val="clear" w:color="auto" w:fill="1B3B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96BAA" w14:textId="77777777" w:rsidR="0017752D" w:rsidRDefault="00000000" w:rsidP="00EF3A6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7752D" w14:paraId="13CA1261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99C87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ERM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69A4B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Enterprise Risk Management — the practice of identifying, assessing, and managing risks across an organisation</w:t>
            </w:r>
          </w:p>
        </w:tc>
      </w:tr>
      <w:tr w:rsidR="0017752D" w14:paraId="2E51722D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FD2A1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GRC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03797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Governance, Risk and Compliance — the broader software category that includes ERM platforms</w:t>
            </w:r>
          </w:p>
        </w:tc>
      </w:tr>
      <w:tr w:rsidR="0017752D" w14:paraId="206ADE8D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5E56B" w14:textId="1F26C103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Two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tier LLM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EEEC5" w14:textId="552273A5" w:rsidR="0017752D" w:rsidRDefault="00EF3A6B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TBD2</w:t>
            </w:r>
            <w:r w:rsidR="00000000">
              <w:rPr>
                <w:color w:val="555555"/>
                <w:sz w:val="20"/>
                <w:szCs w:val="20"/>
              </w:rPr>
              <w:t xml:space="preserve"> architecture: 12 parallel Module</w:t>
            </w:r>
            <w:r>
              <w:rPr>
                <w:color w:val="555555"/>
                <w:sz w:val="20"/>
                <w:szCs w:val="20"/>
              </w:rPr>
              <w:t>-</w:t>
            </w:r>
            <w:r w:rsidR="00000000">
              <w:rPr>
                <w:color w:val="555555"/>
                <w:sz w:val="20"/>
                <w:szCs w:val="20"/>
              </w:rPr>
              <w:t>level LLM calls (Tier 1) followed by one Enterprise</w:t>
            </w:r>
            <w:r>
              <w:rPr>
                <w:color w:val="555555"/>
                <w:sz w:val="20"/>
                <w:szCs w:val="20"/>
              </w:rPr>
              <w:t>-</w:t>
            </w:r>
            <w:r w:rsidR="00000000">
              <w:rPr>
                <w:color w:val="555555"/>
                <w:sz w:val="20"/>
                <w:szCs w:val="20"/>
              </w:rPr>
              <w:t>level synthesis call (Tier 2)</w:t>
            </w:r>
          </w:p>
        </w:tc>
      </w:tr>
      <w:tr w:rsidR="0017752D" w14:paraId="4612DF5E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878AD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CAGR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A5A30" w14:textId="7577356E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Compound Annual Growth Rate — the rate at which a market grows year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over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year</w:t>
            </w:r>
          </w:p>
        </w:tc>
      </w:tr>
      <w:tr w:rsidR="0017752D" w14:paraId="671EC606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003C5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Celery chord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D889D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Celery primitive for running a group of tasks in parallel then triggering a callback when all complete — the correct pattern for the 12+1 LLM sequencing requirement</w:t>
            </w:r>
          </w:p>
        </w:tc>
      </w:tr>
      <w:tr w:rsidR="0017752D" w14:paraId="7A024044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FCFF7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SPC Chart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9ECE7" w14:textId="1C3B6DF9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Statistical Process Control chart — time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series chart showing metric values relative to control limits</w:t>
            </w:r>
          </w:p>
        </w:tc>
      </w:tr>
      <w:tr w:rsidR="0017752D" w14:paraId="5859001F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8758D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SSE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27E03" w14:textId="393036C2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Server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Sent Events — a web standard for server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to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client push over HTTP, native to FastAPI</w:t>
            </w:r>
          </w:p>
        </w:tc>
      </w:tr>
      <w:tr w:rsidR="0017752D" w14:paraId="2D0BE75B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68697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Vite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64D30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Modern JavaScript build tool, 10x faster than Create React App, recommended replacement</w:t>
            </w:r>
          </w:p>
        </w:tc>
      </w:tr>
      <w:tr w:rsidR="0017752D" w14:paraId="7C34DAB7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75B63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LiteLLM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9A9D2" w14:textId="7A2E2171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Open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source Python library providing a unified interface to all major LLM APIs (Anthropic, OpenAI, Gemini), handles retries and rate limiting</w:t>
            </w:r>
          </w:p>
        </w:tc>
      </w:tr>
      <w:tr w:rsidR="0017752D" w14:paraId="0D15476F" w14:textId="77777777" w:rsidTr="00AB28A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7A13C" w14:textId="77777777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MinIO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12CED" w14:textId="226D3272" w:rsidR="0017752D" w:rsidRDefault="00000000" w:rsidP="00EF3A6B">
            <w:pPr>
              <w:jc w:val="both"/>
            </w:pPr>
            <w:r>
              <w:rPr>
                <w:color w:val="555555"/>
                <w:sz w:val="20"/>
                <w:szCs w:val="20"/>
              </w:rPr>
              <w:t>Free, open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source S3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compatible object storage that can run self</w:t>
            </w:r>
            <w:r w:rsidR="00EF3A6B">
              <w:rPr>
                <w:color w:val="555555"/>
                <w:sz w:val="20"/>
                <w:szCs w:val="20"/>
              </w:rPr>
              <w:t>-</w:t>
            </w:r>
            <w:r>
              <w:rPr>
                <w:color w:val="555555"/>
                <w:sz w:val="20"/>
                <w:szCs w:val="20"/>
              </w:rPr>
              <w:t>hosted in Docker</w:t>
            </w:r>
          </w:p>
        </w:tc>
      </w:tr>
    </w:tbl>
    <w:p w14:paraId="04621DCF" w14:textId="77777777" w:rsidR="0017752D" w:rsidRDefault="0017752D" w:rsidP="00EF3A6B">
      <w:pPr>
        <w:spacing w:before="60" w:after="60"/>
        <w:jc w:val="both"/>
      </w:pPr>
    </w:p>
    <w:p w14:paraId="431E2F51" w14:textId="77777777" w:rsidR="0017752D" w:rsidRDefault="0017752D" w:rsidP="00EF3A6B">
      <w:pPr>
        <w:pBdr>
          <w:bottom w:val="single" w:sz="4" w:space="1" w:color="D0E4F2"/>
        </w:pBdr>
        <w:spacing w:before="200" w:after="200"/>
        <w:jc w:val="both"/>
      </w:pPr>
    </w:p>
    <w:p w14:paraId="780A1B34" w14:textId="77777777" w:rsidR="0017752D" w:rsidRDefault="00000000" w:rsidP="00EF3A6B">
      <w:pPr>
        <w:spacing w:before="200" w:after="100"/>
        <w:jc w:val="both"/>
      </w:pPr>
      <w:r>
        <w:rPr>
          <w:i/>
          <w:iCs/>
          <w:color w:val="A93226"/>
          <w:sz w:val="18"/>
          <w:szCs w:val="18"/>
        </w:rPr>
        <w:t>CONFIDENTIAL — For internal team use only. Not for external distribution.</w:t>
      </w:r>
    </w:p>
    <w:p w14:paraId="36C27F7F" w14:textId="3E697866" w:rsidR="0017752D" w:rsidRDefault="00EF3A6B" w:rsidP="00EF3A6B">
      <w:pPr>
        <w:spacing w:before="80" w:after="80"/>
        <w:jc w:val="both"/>
      </w:pPr>
      <w:r>
        <w:rPr>
          <w:color w:val="555555"/>
          <w:sz w:val="18"/>
          <w:szCs w:val="18"/>
        </w:rPr>
        <w:t>TBD2</w:t>
      </w:r>
      <w:r w:rsidR="00000000">
        <w:rPr>
          <w:color w:val="555555"/>
          <w:sz w:val="18"/>
          <w:szCs w:val="18"/>
        </w:rPr>
        <w:t xml:space="preserve"> | Enterprise Risk Monitoring Platform | Strategic Analysis Report | April 2026</w:t>
      </w:r>
    </w:p>
    <w:sectPr w:rsidR="0017752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893"/>
    <w:multiLevelType w:val="hybridMultilevel"/>
    <w:tmpl w:val="E6A27666"/>
    <w:lvl w:ilvl="0" w:tplc="ABFEE02C">
      <w:start w:val="1"/>
      <w:numFmt w:val="bullet"/>
      <w:lvlText w:val="●"/>
      <w:lvlJc w:val="left"/>
      <w:pPr>
        <w:ind w:left="720" w:hanging="360"/>
      </w:pPr>
    </w:lvl>
    <w:lvl w:ilvl="1" w:tplc="943EA428">
      <w:start w:val="1"/>
      <w:numFmt w:val="bullet"/>
      <w:lvlText w:val="○"/>
      <w:lvlJc w:val="left"/>
      <w:pPr>
        <w:ind w:left="1440" w:hanging="360"/>
      </w:pPr>
    </w:lvl>
    <w:lvl w:ilvl="2" w:tplc="43522DBE">
      <w:start w:val="1"/>
      <w:numFmt w:val="bullet"/>
      <w:lvlText w:val="■"/>
      <w:lvlJc w:val="left"/>
      <w:pPr>
        <w:ind w:left="2160" w:hanging="360"/>
      </w:pPr>
    </w:lvl>
    <w:lvl w:ilvl="3" w:tplc="551EBBA8">
      <w:start w:val="1"/>
      <w:numFmt w:val="bullet"/>
      <w:lvlText w:val="●"/>
      <w:lvlJc w:val="left"/>
      <w:pPr>
        <w:ind w:left="2880" w:hanging="360"/>
      </w:pPr>
    </w:lvl>
    <w:lvl w:ilvl="4" w:tplc="AEB623F8">
      <w:start w:val="1"/>
      <w:numFmt w:val="bullet"/>
      <w:lvlText w:val="○"/>
      <w:lvlJc w:val="left"/>
      <w:pPr>
        <w:ind w:left="3600" w:hanging="360"/>
      </w:pPr>
    </w:lvl>
    <w:lvl w:ilvl="5" w:tplc="5B0C3F14">
      <w:start w:val="1"/>
      <w:numFmt w:val="bullet"/>
      <w:lvlText w:val="■"/>
      <w:lvlJc w:val="left"/>
      <w:pPr>
        <w:ind w:left="4320" w:hanging="360"/>
      </w:pPr>
    </w:lvl>
    <w:lvl w:ilvl="6" w:tplc="60A874FE">
      <w:start w:val="1"/>
      <w:numFmt w:val="bullet"/>
      <w:lvlText w:val="●"/>
      <w:lvlJc w:val="left"/>
      <w:pPr>
        <w:ind w:left="5040" w:hanging="360"/>
      </w:pPr>
    </w:lvl>
    <w:lvl w:ilvl="7" w:tplc="C8D8BDE0">
      <w:start w:val="1"/>
      <w:numFmt w:val="bullet"/>
      <w:lvlText w:val="●"/>
      <w:lvlJc w:val="left"/>
      <w:pPr>
        <w:ind w:left="5760" w:hanging="360"/>
      </w:pPr>
    </w:lvl>
    <w:lvl w:ilvl="8" w:tplc="C4601B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F70BC"/>
    <w:multiLevelType w:val="hybridMultilevel"/>
    <w:tmpl w:val="3F900232"/>
    <w:lvl w:ilvl="0" w:tplc="98BE1976">
      <w:start w:val="1"/>
      <w:numFmt w:val="bullet"/>
      <w:lvlText w:val="◦"/>
      <w:lvlJc w:val="left"/>
      <w:pPr>
        <w:ind w:left="1080" w:hanging="360"/>
      </w:pPr>
    </w:lvl>
    <w:lvl w:ilvl="1" w:tplc="1646E5EE">
      <w:numFmt w:val="decimal"/>
      <w:lvlText w:val=""/>
      <w:lvlJc w:val="left"/>
    </w:lvl>
    <w:lvl w:ilvl="2" w:tplc="56D6E046">
      <w:numFmt w:val="decimal"/>
      <w:lvlText w:val=""/>
      <w:lvlJc w:val="left"/>
    </w:lvl>
    <w:lvl w:ilvl="3" w:tplc="94482994">
      <w:numFmt w:val="decimal"/>
      <w:lvlText w:val=""/>
      <w:lvlJc w:val="left"/>
    </w:lvl>
    <w:lvl w:ilvl="4" w:tplc="738C2F28">
      <w:numFmt w:val="decimal"/>
      <w:lvlText w:val=""/>
      <w:lvlJc w:val="left"/>
    </w:lvl>
    <w:lvl w:ilvl="5" w:tplc="6512E9B4">
      <w:numFmt w:val="decimal"/>
      <w:lvlText w:val=""/>
      <w:lvlJc w:val="left"/>
    </w:lvl>
    <w:lvl w:ilvl="6" w:tplc="2BACCD92">
      <w:numFmt w:val="decimal"/>
      <w:lvlText w:val=""/>
      <w:lvlJc w:val="left"/>
    </w:lvl>
    <w:lvl w:ilvl="7" w:tplc="150819C4">
      <w:numFmt w:val="decimal"/>
      <w:lvlText w:val=""/>
      <w:lvlJc w:val="left"/>
    </w:lvl>
    <w:lvl w:ilvl="8" w:tplc="B9E05700">
      <w:numFmt w:val="decimal"/>
      <w:lvlText w:val=""/>
      <w:lvlJc w:val="left"/>
    </w:lvl>
  </w:abstractNum>
  <w:abstractNum w:abstractNumId="2" w15:restartNumberingAfterBreak="0">
    <w:nsid w:val="78F76EDC"/>
    <w:multiLevelType w:val="hybridMultilevel"/>
    <w:tmpl w:val="7368BBB0"/>
    <w:lvl w:ilvl="0" w:tplc="CA5A95AE">
      <w:start w:val="1"/>
      <w:numFmt w:val="bullet"/>
      <w:lvlText w:val="•"/>
      <w:lvlJc w:val="left"/>
      <w:pPr>
        <w:ind w:left="720" w:hanging="360"/>
      </w:pPr>
    </w:lvl>
    <w:lvl w:ilvl="1" w:tplc="A84E25F2">
      <w:numFmt w:val="decimal"/>
      <w:lvlText w:val=""/>
      <w:lvlJc w:val="left"/>
    </w:lvl>
    <w:lvl w:ilvl="2" w:tplc="0ECAC062">
      <w:numFmt w:val="decimal"/>
      <w:lvlText w:val=""/>
      <w:lvlJc w:val="left"/>
    </w:lvl>
    <w:lvl w:ilvl="3" w:tplc="E6ECA7C2">
      <w:numFmt w:val="decimal"/>
      <w:lvlText w:val=""/>
      <w:lvlJc w:val="left"/>
    </w:lvl>
    <w:lvl w:ilvl="4" w:tplc="5C64D778">
      <w:numFmt w:val="decimal"/>
      <w:lvlText w:val=""/>
      <w:lvlJc w:val="left"/>
    </w:lvl>
    <w:lvl w:ilvl="5" w:tplc="B64AD420">
      <w:numFmt w:val="decimal"/>
      <w:lvlText w:val=""/>
      <w:lvlJc w:val="left"/>
    </w:lvl>
    <w:lvl w:ilvl="6" w:tplc="74986830">
      <w:numFmt w:val="decimal"/>
      <w:lvlText w:val=""/>
      <w:lvlJc w:val="left"/>
    </w:lvl>
    <w:lvl w:ilvl="7" w:tplc="92D0AEDE">
      <w:numFmt w:val="decimal"/>
      <w:lvlText w:val=""/>
      <w:lvlJc w:val="left"/>
    </w:lvl>
    <w:lvl w:ilvl="8" w:tplc="24181CD8">
      <w:numFmt w:val="decimal"/>
      <w:lvlText w:val=""/>
      <w:lvlJc w:val="left"/>
    </w:lvl>
  </w:abstractNum>
  <w:num w:numId="1" w16cid:durableId="1673681191">
    <w:abstractNumId w:val="0"/>
    <w:lvlOverride w:ilvl="0">
      <w:startOverride w:val="1"/>
    </w:lvlOverride>
  </w:num>
  <w:num w:numId="2" w16cid:durableId="12290286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52D"/>
    <w:rsid w:val="0017752D"/>
    <w:rsid w:val="008B57D2"/>
    <w:rsid w:val="00AB28AA"/>
    <w:rsid w:val="00EC5E44"/>
    <w:rsid w:val="00E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1C4B"/>
  <w15:docId w15:val="{D3EC5E84-CC00-4A40-82E8-3B11084C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B5F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1A1A2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4382</Words>
  <Characters>24980</Characters>
  <Application>Microsoft Office Word</Application>
  <DocSecurity>0</DocSecurity>
  <Lines>208</Lines>
  <Paragraphs>58</Paragraphs>
  <ScaleCrop>false</ScaleCrop>
  <Company/>
  <LinksUpToDate>false</LinksUpToDate>
  <CharactersWithSpaces>29304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Danish Ahmed</cp:lastModifiedBy>
  <cp:revision>2</cp:revision>
  <dcterms:created xsi:type="dcterms:W3CDTF">2026-04-21T13:59:00Z</dcterms:created>
  <dcterms:modified xsi:type="dcterms:W3CDTF">2026-04-21T14:37:00Z</dcterms:modified>
</cp:coreProperties>
</file>