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Europol Money Muling Framework &amp; Financial Ring Typologies</w:t>
      </w:r>
    </w:p>
    <w:p>
      <w:r>
        <w:t>Money mule rings operate as decentralized networks where multiple proxy identities route illicit funds through intermediate accounts. A classic structural graph signature is a high many-to-one mapping layout where distinct, seemingly unlinked customer nodes share a single hardware device fingerprint (mule_device) or routing beneficiary parameters (mule_bene).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