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行政基本情報データ連携モデル-電話番号"/>
    <w:p>
      <w:pPr>
        <w:pStyle w:val="Heading1"/>
      </w:pPr>
      <w:r>
        <w:t xml:space="preserve">行政基本情報データ連携モデル 電話番号</w:t>
      </w:r>
    </w:p>
    <w:p>
      <w:pPr>
        <w:numPr>
          <w:ilvl w:val="0"/>
          <w:numId w:val="1001"/>
        </w:numPr>
        <w:pStyle w:val="Compact"/>
      </w:pPr>
      <w:r>
        <w:t xml:space="preserve">標準ガイドライン群 ID：1015-5</w:t>
      </w:r>
    </w:p>
    <w:p>
      <w:pPr>
        <w:numPr>
          <w:ilvl w:val="0"/>
          <w:numId w:val="1001"/>
        </w:numPr>
        <w:pStyle w:val="Compact"/>
      </w:pPr>
      <w:r>
        <w:t xml:space="preserve">2019-03-28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https://cio.go.jp/sites/default/files/uploads/documents/1015-5_gyousei_data_model_phone.pdf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https://cio.go.jp/sites/default/files/uploads/documents/1015-5_gyousei_data_model_phone.docx</w:t>
      </w:r>
    </w:p>
    <w:p>
      <w:pPr>
        <w:pStyle w:val="FirstParagraph"/>
      </w:pPr>
      <w:r>
        <w:t xml:space="preserve">電話番号のデータは、</w:t>
      </w:r>
      <w:hyperlink r:id="rId20">
        <w:r>
          <w:rPr>
            <w:rStyle w:val="Hyperlink"/>
          </w:rPr>
          <w:t xml:space="preserve">ITU-T E.123</w:t>
        </w:r>
      </w:hyperlink>
      <w:r>
        <w:t xml:space="preserve"> </w:t>
      </w:r>
      <w:r>
        <w:t xml:space="preserve">: Notation for national and international telephone numbers, e-mail addresses and web addresses 及び</w:t>
      </w:r>
      <w:r>
        <w:t xml:space="preserve"> </w:t>
      </w:r>
      <w:hyperlink r:id="rId21">
        <w:r>
          <w:rPr>
            <w:rStyle w:val="Hyperlink"/>
          </w:rPr>
          <w:t xml:space="preserve">IETF RFC3966</w:t>
        </w:r>
      </w:hyperlink>
      <w:r>
        <w:t xml:space="preserve"> </w:t>
      </w:r>
      <w:r>
        <w:t xml:space="preserve">The tel URI for Telephone Numbers 並びに国内の普及状況を考慮して整理する。</w:t>
      </w:r>
    </w:p>
    <w:bookmarkStart w:id="22" w:name="電話番号"/>
    <w:p>
      <w:pPr>
        <w:pStyle w:val="Heading2"/>
      </w:pPr>
      <w:r>
        <w:t xml:space="preserve">１. 電話番号</w:t>
      </w:r>
    </w:p>
    <w:p>
      <w:pPr>
        <w:pStyle w:val="FirstParagraph"/>
      </w:pPr>
      <w:r>
        <w:t xml:space="preserve">電話番号のデータは以下の形式とする。半角数字で記述し、セパレータには半角ハイフン「-」を利用する。</w:t>
      </w:r>
    </w:p>
    <w:p>
      <w:pPr>
        <w:pStyle w:val="BodyText"/>
      </w:pPr>
      <w:r>
        <w:t xml:space="preserve">国際電話用に表現する場合には、「+」の後に国番号、半角スペース後に国内番号の先頭の 0 を除いた番号とする。国番号は</w:t>
      </w:r>
      <w:r>
        <w:t xml:space="preserve"> </w:t>
      </w:r>
      <w:hyperlink r:id="rId20">
        <w:r>
          <w:rPr>
            <w:rStyle w:val="Hyperlink"/>
          </w:rPr>
          <w:t xml:space="preserve">ITU-T E.123</w:t>
        </w:r>
      </w:hyperlink>
      <w:r>
        <w:t xml:space="preserve"> </w:t>
      </w:r>
      <w:r>
        <w:t xml:space="preserve">に従う。</w:t>
      </w:r>
    </w:p>
    <w:p>
      <w:pPr>
        <w:pStyle w:val="BodyText"/>
      </w:pPr>
      <w:r>
        <w:t xml:space="preserve">市内局番を（）で表現することがあるが、</w:t>
      </w:r>
      <w:hyperlink r:id="rId20">
        <w:r>
          <w:rPr>
            <w:rStyle w:val="Hyperlink"/>
          </w:rPr>
          <w:t xml:space="preserve">E.123</w:t>
        </w:r>
      </w:hyperlink>
      <w:r>
        <w:t xml:space="preserve"> </w:t>
      </w:r>
      <w:r>
        <w:t xml:space="preserve">において、（）は「場合によって使用しない。」ことを意味する記号であるため、市外局番に対して適用する。</w:t>
      </w:r>
    </w:p>
    <w:p>
      <w:pPr>
        <w:numPr>
          <w:ilvl w:val="0"/>
          <w:numId w:val="1002"/>
        </w:numPr>
        <w:pStyle w:val="Compact"/>
      </w:pPr>
      <w:r>
        <w:t xml:space="preserve">国内 (09)9999-9999 、 (099)999-9999 、 099999-9999 、または (09999)9-9999 フリーダイヤルの場合 0120-999999</w:t>
      </w:r>
    </w:p>
    <w:p>
      <w:pPr>
        <w:numPr>
          <w:ilvl w:val="0"/>
          <w:numId w:val="1002"/>
        </w:numPr>
        <w:pStyle w:val="Compact"/>
      </w:pPr>
      <w:r>
        <w:t xml:space="preserve">国際 +国番号 (9)9999-9999 （国内番号が 2 桁 4 桁 4 桁の場合）</w:t>
      </w:r>
    </w:p>
    <w:p>
      <w:pPr>
        <w:numPr>
          <w:ilvl w:val="0"/>
          <w:numId w:val="1002"/>
        </w:numPr>
        <w:pStyle w:val="Compact"/>
      </w:pPr>
      <w:r>
        <w:t xml:space="preserve">例） +81 (3)5253-5111</w:t>
      </w:r>
    </w:p>
    <w:p>
      <w:pPr>
        <w:numPr>
          <w:ilvl w:val="1"/>
          <w:numId w:val="1003"/>
        </w:numPr>
        <w:pStyle w:val="Compact"/>
      </w:pPr>
      <w:r>
        <w:t xml:space="preserve">代表電話番号を表したい場合、電話番号と同じセル内で、電話番号の後ろに（代表）等の追記を行わない。</w:t>
      </w:r>
    </w:p>
    <w:p>
      <w:pPr>
        <w:numPr>
          <w:ilvl w:val="1"/>
          <w:numId w:val="1003"/>
        </w:numPr>
        <w:pStyle w:val="Compact"/>
      </w:pPr>
      <w:r>
        <w:t xml:space="preserve">データ項目名を「代表電話番号」「連絡先電話番号」として明確化するか、「電話番号」「部署」のように 2 つのデータ項目とする。</w:t>
      </w:r>
    </w:p>
    <w:p>
      <w:pPr>
        <w:numPr>
          <w:ilvl w:val="0"/>
          <w:numId w:val="1002"/>
        </w:numPr>
        <w:pStyle w:val="Compact"/>
      </w:pPr>
      <w:r>
        <w:t xml:space="preserve">例） (03)5353-5111</w:t>
      </w:r>
    </w:p>
    <w:p>
      <w:pPr>
        <w:numPr>
          <w:ilvl w:val="1"/>
          <w:numId w:val="1004"/>
        </w:numPr>
        <w:pStyle w:val="Compact"/>
      </w:pPr>
      <w:r>
        <w:t xml:space="preserve">代表電話</w:t>
      </w:r>
    </w:p>
    <w:bookmarkEnd w:id="22"/>
    <w:bookmarkStart w:id="23" w:name="内線"/>
    <w:p>
      <w:pPr>
        <w:pStyle w:val="Heading2"/>
      </w:pPr>
      <w:r>
        <w:t xml:space="preserve">2. 内線</w:t>
      </w:r>
    </w:p>
    <w:p>
      <w:pPr>
        <w:pStyle w:val="FirstParagraph"/>
      </w:pPr>
      <w:r>
        <w:t xml:space="preserve">電話番号と別データ項目で管理することが望ましい。半角数字のデータとする。</w:t>
      </w:r>
    </w:p>
    <w:p>
      <w:pPr>
        <w:pStyle w:val="BodyText"/>
      </w:pPr>
      <w:r>
        <w:t xml:space="preserve">電話番号と同じ 1 つのデータ項目で記述する場合には、国際標準に従い以下のとおりとする。内線と番号の間にスペースは入れない。</w:t>
      </w:r>
    </w:p>
    <w:p>
      <w:pPr>
        <w:numPr>
          <w:ilvl w:val="0"/>
          <w:numId w:val="1005"/>
        </w:numPr>
        <w:pStyle w:val="Compact"/>
      </w:pPr>
      <w:r>
        <w:t xml:space="preserve">国内 (09)9999-9999 内線 999 （内線の桁数は自由）</w:t>
      </w:r>
    </w:p>
    <w:p>
      <w:pPr>
        <w:numPr>
          <w:ilvl w:val="0"/>
          <w:numId w:val="1005"/>
        </w:numPr>
        <w:pStyle w:val="Compact"/>
      </w:pPr>
      <w:r>
        <w:t xml:space="preserve">国際 +国番号(9)9999-9999 Ext.999 （内線の桁数は自由）</w:t>
      </w:r>
      <w:r>
        <w:t xml:space="preserve"> </w:t>
      </w:r>
      <w:r>
        <w:t xml:space="preserve">（国内番号が 2 桁 4 桁 4 桁の場合）</w:t>
      </w:r>
    </w:p>
    <w:bookmarkEnd w:id="23"/>
    <w:bookmarkStart w:id="24" w:name="複数番号の併記"/>
    <w:p>
      <w:pPr>
        <w:pStyle w:val="Heading2"/>
      </w:pPr>
      <w:r>
        <w:t xml:space="preserve">3. 複数番号の併記</w:t>
      </w:r>
    </w:p>
    <w:p>
      <w:pPr>
        <w:pStyle w:val="FirstParagraph"/>
      </w:pPr>
      <w:r>
        <w:t xml:space="preserve">複数番号を併記する場合、半角“スペース/スペース”により区切ることにより併記する。</w:t>
      </w:r>
    </w:p>
    <w:p>
      <w:pPr>
        <w:numPr>
          <w:ilvl w:val="0"/>
          <w:numId w:val="1006"/>
        </w:numPr>
        <w:pStyle w:val="Compact"/>
      </w:pPr>
      <w:r>
        <w:t xml:space="preserve">(09)9999-9999 / (09)9999-9998</w:t>
      </w:r>
    </w:p>
    <w:p>
      <w:pPr>
        <w:pStyle w:val="FirstParagraph"/>
      </w:pPr>
      <w:r>
        <w:t xml:space="preserve">内線も同様とする。</w:t>
      </w:r>
    </w:p>
    <w:p>
      <w:pPr>
        <w:numPr>
          <w:ilvl w:val="0"/>
          <w:numId w:val="1007"/>
        </w:numPr>
        <w:pStyle w:val="Compact"/>
      </w:pPr>
      <w:r>
        <w:t xml:space="preserve">内線 999 / 998 / ・・・ / xxx</w:t>
      </w:r>
    </w:p>
    <w:p>
      <w:pPr>
        <w:numPr>
          <w:ilvl w:val="0"/>
          <w:numId w:val="1007"/>
        </w:numPr>
        <w:pStyle w:val="Compact"/>
      </w:pPr>
      <w:r>
        <w:t xml:space="preserve">Ext. 999 / 998 / ・・・ / xxx</w:t>
      </w:r>
    </w:p>
    <w:bookmarkEnd w:id="24"/>
    <w:bookmarkStart w:id="28" w:name="解説"/>
    <w:p>
      <w:pPr>
        <w:pStyle w:val="Heading2"/>
      </w:pPr>
      <w:r>
        <w:t xml:space="preserve">4. 解説</w:t>
      </w:r>
    </w:p>
    <w:bookmarkStart w:id="25" w:name="基本方針"/>
    <w:p>
      <w:pPr>
        <w:pStyle w:val="Heading3"/>
      </w:pPr>
      <w:r>
        <w:t xml:space="preserve">4.1. 基本方針</w:t>
      </w:r>
    </w:p>
    <w:p>
      <w:pPr>
        <w:pStyle w:val="FirstParagraph"/>
      </w:pPr>
      <w:hyperlink r:id="rId20">
        <w:r>
          <w:rPr>
            <w:rStyle w:val="Hyperlink"/>
          </w:rPr>
          <w:t xml:space="preserve">ITU-T E.123</w:t>
        </w:r>
      </w:hyperlink>
      <w:r>
        <w:t xml:space="preserve"> </w:t>
      </w:r>
      <w:r>
        <w:t xml:space="preserve">: Notation for national and international telephone numbers, e-mail addresses and web addresses 及び</w:t>
      </w:r>
      <w:r>
        <w:t xml:space="preserve"> </w:t>
      </w:r>
      <w:hyperlink r:id="rId21">
        <w:r>
          <w:rPr>
            <w:rStyle w:val="Hyperlink"/>
          </w:rPr>
          <w:t xml:space="preserve">IETF RFC3966</w:t>
        </w:r>
      </w:hyperlink>
      <w:r>
        <w:t xml:space="preserve"> </w:t>
      </w:r>
      <w:r>
        <w:t xml:space="preserve">The tel URI for Telephone Numbers 並びに国内の普及状況を考慮して決定する。</w:t>
      </w:r>
    </w:p>
    <w:bookmarkEnd w:id="25"/>
    <w:bookmarkStart w:id="26" w:name="セパレータ"/>
    <w:p>
      <w:pPr>
        <w:pStyle w:val="Heading3"/>
      </w:pPr>
      <w:r>
        <w:t xml:space="preserve">4.2. セパレータ</w:t>
      </w:r>
    </w:p>
    <w:p>
      <w:pPr>
        <w:pStyle w:val="FirstParagraph"/>
      </w:pPr>
      <w:r>
        <w:t xml:space="preserve">以下の理由により電話番号の区切りに半角ハイフンを指定する。</w:t>
      </w:r>
      <w:r>
        <w:t xml:space="preserve"> </w:t>
      </w:r>
      <w:r>
        <w:t xml:space="preserve">- 市外局番の桁数に様々な場合があることから、数字の区切りは必要である。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ITU-T E.123</w:t>
        </w:r>
      </w:hyperlink>
      <w:r>
        <w:t xml:space="preserve"> </w:t>
      </w:r>
      <w:r>
        <w:t xml:space="preserve">は、番号の視認性を高めるための仕組みとして番号の区切りにスペースを指定している。一方で、</w:t>
      </w:r>
      <w:hyperlink r:id="rId21">
        <w:r>
          <w:rPr>
            <w:rStyle w:val="Hyperlink"/>
          </w:rPr>
          <w:t xml:space="preserve">IETF RFC3966</w:t>
        </w:r>
      </w:hyperlink>
      <w:r>
        <w:t xml:space="preserve"> </w:t>
      </w:r>
      <w:r>
        <w:t xml:space="preserve">は</w:t>
      </w:r>
      <w:r>
        <w:t xml:space="preserve"> </w:t>
      </w:r>
      <w:hyperlink r:id="rId20">
        <w:r>
          <w:rPr>
            <w:rStyle w:val="Hyperlink"/>
          </w:rPr>
          <w:t xml:space="preserve">E.123</w:t>
        </w:r>
      </w:hyperlink>
      <w:r>
        <w:t xml:space="preserve"> </w:t>
      </w:r>
      <w:r>
        <w:t xml:space="preserve">を認識したうえで、スペースを使うべきではないとしている。スペースは意見が相反しているうえ国内で普及していない。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E.123</w:t>
        </w:r>
      </w:hyperlink>
      <w:r>
        <w:t xml:space="preserve"> </w:t>
      </w:r>
      <w:r>
        <w:t xml:space="preserve">は、世界の状況を踏まえ「-」の使用を認めている。また、</w:t>
      </w:r>
      <w:hyperlink r:id="rId21">
        <w:r>
          <w:rPr>
            <w:rStyle w:val="Hyperlink"/>
          </w:rPr>
          <w:t xml:space="preserve">IETF</w:t>
        </w:r>
      </w:hyperlink>
      <w:r>
        <w:t xml:space="preserve"> </w:t>
      </w:r>
      <w:r>
        <w:t xml:space="preserve">もセパレータの必要性を認めている。</w:t>
      </w:r>
      <w:r>
        <w:t xml:space="preserve"> </w:t>
      </w:r>
      <w:r>
        <w:t xml:space="preserve">- 国内ではハイフンが主流である。</w:t>
      </w:r>
    </w:p>
    <w:bookmarkEnd w:id="26"/>
    <w:bookmarkStart w:id="27" w:name="内線-1"/>
    <w:p>
      <w:pPr>
        <w:pStyle w:val="Heading3"/>
      </w:pPr>
      <w:r>
        <w:t xml:space="preserve">4.3. 内線</w:t>
      </w:r>
    </w:p>
    <w:p>
      <w:pPr>
        <w:pStyle w:val="FirstParagraph"/>
      </w:pPr>
      <w:r>
        <w:t xml:space="preserve">内線については以下の理由により、データ項目を分離することを推奨する。</w:t>
      </w:r>
      <w:r>
        <w:t xml:space="preserve"> </w:t>
      </w:r>
      <w:r>
        <w:t xml:space="preserve">- 国内で内線の書き方は統一されたものがない。</w:t>
      </w:r>
      <w:r>
        <w:t xml:space="preserve"> </w:t>
      </w:r>
      <w:r>
        <w:t xml:space="preserve">- 国外でも内線番号記述は統一されていない。</w:t>
      </w:r>
      <w:r>
        <w:t xml:space="preserve"> </w:t>
      </w:r>
      <w:r>
        <w:t xml:space="preserve">- データ処理が容易である。</w:t>
      </w:r>
    </w:p>
    <w:p>
      <w:pPr>
        <w:pStyle w:val="BodyText"/>
      </w:pPr>
      <w:r>
        <w:t xml:space="preserve">また、1 つのデータ項目に内線を記述する場合、</w:t>
      </w:r>
      <w:hyperlink r:id="rId20">
        <w:r>
          <w:rPr>
            <w:rStyle w:val="Hyperlink"/>
          </w:rPr>
          <w:t xml:space="preserve">E.123</w:t>
        </w:r>
      </w:hyperlink>
      <w:r>
        <w:t xml:space="preserve"> </w:t>
      </w:r>
      <w:r>
        <w:t xml:space="preserve">に従い、国内で内線を番号表す単語“内線”の後ろに内線番号を記述する方式をとる。国際の場合には“Extension”では長いため、Ext.を使うこととする。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&#29992;&#35486;.md#ietf-rfc3966" TargetMode="External" /><Relationship Type="http://schemas.openxmlformats.org/officeDocument/2006/relationships/hyperlink" Id="rId20" Target="&#29992;&#35486;.md#itu-t-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&#29992;&#35486;.md#ietf-rfc3966" TargetMode="External" /><Relationship Type="http://schemas.openxmlformats.org/officeDocument/2006/relationships/hyperlink" Id="rId20" Target="&#29992;&#35486;.md#itu-t-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2021-06-28T14:34:50Z</dcterms:created>
  <dcterms:modified xsi:type="dcterms:W3CDTF">2021-06-28T14:34:50Z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