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200" w:before="1200"/>
        <w:jc w:val="center"/>
      </w:pPr>
      <w:r>
        <w:rPr>
          <w:rFonts w:ascii="Times New Roman"/>
          <w:b/>
          <w:bCs/>
          <w:color w:val="1A5276"/>
          <w:sz w:val="32"/>
          <w:szCs w:val="32"/>
        </w:rPr>
        <w:t xml:space="preserve">AI OPEN INNOVATION CHALLENGE 2026</w:t>
      </w:r>
    </w:p>
    <w:p>
      <w:pPr>
        <w:spacing w:after="200"/>
        <w:jc w:val="center"/>
      </w:pPr>
      <w:r>
        <w:rPr>
          <w:rFonts w:ascii="Times New Roman"/>
          <w:color w:val="606060"/>
          <w:sz w:val="28"/>
          <w:szCs w:val="28"/>
        </w:rPr>
        <w:t xml:space="preserve">Proposal Writing Guidelines</w:t>
      </w:r>
    </w:p>
    <w:p>
      <w:pPr>
        <w:spacing w:after="60"/>
      </w:pPr>
    </w:p>
    <w:p>
      <w:pPr>
        <w:spacing w:after="100" w:before="600"/>
        <w:jc w:val="center"/>
      </w:pPr>
      <w:r>
        <w:rPr>
          <w:rFonts w:ascii="Times New Roman"/>
          <w:b/>
          <w:bCs/>
          <w:color w:val="1A5276"/>
          <w:sz w:val="48"/>
          <w:szCs w:val="48"/>
        </w:rPr>
        <w:t xml:space="preserve">PlateVision AI</w:t>
      </w:r>
    </w:p>
    <w:p>
      <w:pPr>
        <w:spacing w:after="100"/>
        <w:jc w:val="center"/>
      </w:pPr>
      <w:r>
        <w:rPr>
          <w:rFonts w:ascii="Times New Roman"/>
          <w:color w:val="2E86C1"/>
          <w:sz w:val="28"/>
          <w:szCs w:val="28"/>
        </w:rPr>
        <w:t xml:space="preserve">Automated Plate Count Reader</w:t>
      </w:r>
    </w:p>
    <w:p>
      <w:pPr>
        <w:spacing w:after="200"/>
        <w:jc w:val="center"/>
      </w:pPr>
      <w:r>
        <w:rPr>
          <w:rFonts w:ascii="Times New Roman"/>
          <w:i/>
          <w:iCs/>
          <w:color w:val="606060"/>
          <w:sz w:val="22"/>
          <w:szCs w:val="22"/>
        </w:rPr>
        <w:t xml:space="preserve">Intelligent Colony Detection &amp; CFU Calculation for Microbiology Laboratories</w:t>
      </w:r>
    </w:p>
    <w:p>
      <w:pPr>
        <w:spacing w:after="60"/>
      </w:pPr>
    </w:p>
    <w:p>
      <w:pPr>
        <w:spacing w:before="400"/>
        <w:jc w:val="center"/>
      </w:pPr>
      <w:r>
        <w:rPr>
          <w:rFonts w:ascii="Times New Roman"/>
          <w:color w:val="000000"/>
          <w:sz w:val="24"/>
          <w:szCs w:val="24"/>
        </w:rPr>
        <w:t xml:space="preserve">Category: Healthcare</w:t>
      </w:r>
    </w:p>
    <w:p>
      <w:pPr>
        <w:jc w:val="center"/>
      </w:pPr>
      <w:r>
        <w:rPr>
          <w:rFonts w:ascii="Times New Roman"/>
          <w:color w:val="000000"/>
          <w:sz w:val="24"/>
          <w:szCs w:val="24"/>
        </w:rPr>
        <w:t xml:space="preserve">Case Provider: TÜV NORD</w:t>
      </w:r>
    </w:p>
    <w:p>
      <w:pPr>
        <w:jc w:val="center"/>
      </w:pPr>
      <w:r>
        <w:rPr>
          <w:rFonts w:ascii="Times New Roman"/>
          <w:color w:val="606060"/>
          <w:sz w:val="22"/>
          <w:szCs w:val="22"/>
        </w:rPr>
        <w:t xml:space="preserve">Sub-Case: Microbiology Laboratory — Automated Plate Count Reader</w:t>
      </w:r>
    </w:p>
    <w:p>
      <w:pPr>
        <w:spacing w:after="60"/>
      </w:pPr>
    </w:p>
    <w:p>
      <w:pPr>
        <w:spacing w:after="60"/>
      </w:pPr>
    </w:p>
    <w:p>
      <w:pPr>
        <w:spacing w:before="800"/>
        <w:jc w:val="center"/>
      </w:pPr>
      <w:r>
        <w:rPr>
          <w:rFonts w:ascii="Times New Roman"/>
          <w:color w:val="1A5276"/>
          <w:sz w:val="28"/>
          <w:szCs w:val="28"/>
        </w:rPr>
        <w:t xml:space="preserve">2026</w:t>
      </w:r>
    </w:p>
    <w:p>
      <w:r>
        <w:br w:type="page"/>
      </w:r>
    </w:p>
    <w:p>
      <w:pPr>
        <w:spacing w:after="120" w:before="360"/>
      </w:pPr>
      <w:r>
        <w:rPr>
          <w:rFonts w:ascii="Times New Roman"/>
          <w:b/>
          <w:bCs/>
          <w:color w:val="1A5276"/>
          <w:sz w:val="28"/>
          <w:szCs w:val="28"/>
        </w:rPr>
        <w:t xml:space="preserve">TEAM IDENTITY</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999999" w:sz="1"/>
              <w:left w:val="single" w:color="999999" w:sz="1"/>
              <w:bottom w:val="single" w:color="999999" w:sz="1"/>
              <w:right w:val="single" w:color="999999" w:sz="1"/>
            </w:tcBorders>
            <w:shd w:fill="F5F8FC" w:val="clear"/>
            <w:tcMar>
              <w:top w:type="dxa" w:w="60"/>
              <w:left w:type="dxa" w:w="120"/>
              <w:bottom w:type="dxa" w:w="60"/>
              <w:right w:type="dxa" w:w="120"/>
            </w:tcMar>
          </w:tcPr>
          <w:p>
            <w:r>
              <w:rPr>
                <w:rFonts w:ascii="Times New Roman"/>
                <w:b/>
                <w:bCs/>
                <w:color w:val="1A5276"/>
                <w:sz w:val="22"/>
                <w:szCs w:val="22"/>
              </w:rPr>
              <w:t xml:space="preserve">Team Name</w:t>
            </w:r>
          </w:p>
        </w:tc>
        <w:tc>
          <w:tcPr>
            <w:tcW w:type="pct" w:w="65%"/>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olor w:val="000000"/>
                <w:sz w:val="22"/>
                <w:szCs w:val="22"/>
              </w:rPr>
              <w:t xml:space="preserve">PlateVision AI</w:t>
            </w:r>
          </w:p>
        </w:tc>
      </w:tr>
      <w:tr>
        <w:tc>
          <w:tcPr>
            <w:tcW w:type="pct" w:w="35%"/>
            <w:tcBorders>
              <w:top w:val="single" w:color="999999" w:sz="1"/>
              <w:left w:val="single" w:color="999999" w:sz="1"/>
              <w:bottom w:val="single" w:color="999999" w:sz="1"/>
              <w:right w:val="single" w:color="999999" w:sz="1"/>
            </w:tcBorders>
            <w:shd w:fill="F5F8FC" w:val="clear"/>
            <w:tcMar>
              <w:top w:type="dxa" w:w="60"/>
              <w:left w:type="dxa" w:w="120"/>
              <w:bottom w:type="dxa" w:w="60"/>
              <w:right w:type="dxa" w:w="120"/>
            </w:tcMar>
          </w:tcPr>
          <w:p>
            <w:r>
              <w:rPr>
                <w:rFonts w:ascii="Times New Roman"/>
                <w:b/>
                <w:bCs/>
                <w:color w:val="1A5276"/>
                <w:sz w:val="22"/>
                <w:szCs w:val="22"/>
              </w:rPr>
              <w:t xml:space="preserve">Team Leader Name</w:t>
            </w:r>
          </w:p>
        </w:tc>
        <w:tc>
          <w:tcPr>
            <w:tcW w:type="pct" w:w="65%"/>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olor w:val="000000"/>
                <w:sz w:val="22"/>
                <w:szCs w:val="22"/>
              </w:rPr>
              <w:t xml:space="preserve">[Team Leader Name]</w:t>
            </w:r>
          </w:p>
        </w:tc>
      </w:tr>
      <w:tr>
        <w:tc>
          <w:tcPr>
            <w:tcW w:type="pct" w:w="35%"/>
            <w:tcBorders>
              <w:top w:val="single" w:color="999999" w:sz="1"/>
              <w:left w:val="single" w:color="999999" w:sz="1"/>
              <w:bottom w:val="single" w:color="999999" w:sz="1"/>
              <w:right w:val="single" w:color="999999" w:sz="1"/>
            </w:tcBorders>
            <w:shd w:fill="F5F8FC" w:val="clear"/>
            <w:tcMar>
              <w:top w:type="dxa" w:w="60"/>
              <w:left w:type="dxa" w:w="120"/>
              <w:bottom w:type="dxa" w:w="60"/>
              <w:right w:type="dxa" w:w="120"/>
            </w:tcMar>
          </w:tcPr>
          <w:p>
            <w:r>
              <w:rPr>
                <w:rFonts w:ascii="Times New Roman"/>
                <w:b/>
                <w:bCs/>
                <w:color w:val="1A5276"/>
                <w:sz w:val="22"/>
                <w:szCs w:val="22"/>
              </w:rPr>
              <w:t xml:space="preserve">Participant Category</w:t>
            </w:r>
          </w:p>
        </w:tc>
        <w:tc>
          <w:tcPr>
            <w:tcW w:type="pct" w:w="65%"/>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olor w:val="000000"/>
                <w:sz w:val="22"/>
                <w:szCs w:val="22"/>
              </w:rPr>
              <w:t xml:space="preserve">University &amp; Public</w:t>
            </w:r>
          </w:p>
        </w:tc>
      </w:tr>
      <w:tr>
        <w:tc>
          <w:tcPr>
            <w:tcW w:type="pct" w:w="35%"/>
            <w:tcBorders>
              <w:top w:val="single" w:color="999999" w:sz="1"/>
              <w:left w:val="single" w:color="999999" w:sz="1"/>
              <w:bottom w:val="single" w:color="999999" w:sz="1"/>
              <w:right w:val="single" w:color="999999" w:sz="1"/>
            </w:tcBorders>
            <w:shd w:fill="F5F8FC" w:val="clear"/>
            <w:tcMar>
              <w:top w:type="dxa" w:w="60"/>
              <w:left w:type="dxa" w:w="120"/>
              <w:bottom w:type="dxa" w:w="60"/>
              <w:right w:type="dxa" w:w="120"/>
            </w:tcMar>
          </w:tcPr>
          <w:p>
            <w:r>
              <w:rPr>
                <w:rFonts w:ascii="Times New Roman"/>
                <w:b/>
                <w:bCs/>
                <w:color w:val="1A5276"/>
                <w:sz w:val="22"/>
                <w:szCs w:val="22"/>
              </w:rPr>
              <w:t xml:space="preserve">WhatsApp No.</w:t>
            </w:r>
          </w:p>
        </w:tc>
        <w:tc>
          <w:tcPr>
            <w:tcW w:type="pct" w:w="65%"/>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olor w:val="000000"/>
                <w:sz w:val="22"/>
                <w:szCs w:val="22"/>
              </w:rPr>
              <w:t xml:space="preserve">[WhatsApp Number]</w:t>
            </w:r>
          </w:p>
        </w:tc>
      </w:tr>
      <w:tr>
        <w:tc>
          <w:tcPr>
            <w:tcW w:type="pct" w:w="35%"/>
            <w:tcBorders>
              <w:top w:val="single" w:color="999999" w:sz="1"/>
              <w:left w:val="single" w:color="999999" w:sz="1"/>
              <w:bottom w:val="single" w:color="999999" w:sz="1"/>
              <w:right w:val="single" w:color="999999" w:sz="1"/>
            </w:tcBorders>
            <w:shd w:fill="F5F8FC" w:val="clear"/>
            <w:tcMar>
              <w:top w:type="dxa" w:w="60"/>
              <w:left w:type="dxa" w:w="120"/>
              <w:bottom w:type="dxa" w:w="60"/>
              <w:right w:type="dxa" w:w="120"/>
            </w:tcMar>
          </w:tcPr>
          <w:p>
            <w:r>
              <w:rPr>
                <w:rFonts w:ascii="Times New Roman"/>
                <w:b/>
                <w:bCs/>
                <w:color w:val="1A5276"/>
                <w:sz w:val="22"/>
                <w:szCs w:val="22"/>
              </w:rPr>
              <w:t xml:space="preserve">Email</w:t>
            </w:r>
          </w:p>
        </w:tc>
        <w:tc>
          <w:tcPr>
            <w:tcW w:type="pct" w:w="65%"/>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olor w:val="000000"/>
                <w:sz w:val="22"/>
                <w:szCs w:val="22"/>
              </w:rPr>
              <w:t xml:space="preserve">[Email Address]</w:t>
            </w:r>
          </w:p>
        </w:tc>
      </w:tr>
      <w:tr>
        <w:tc>
          <w:tcPr>
            <w:tcW w:type="pct" w:w="35%"/>
            <w:tcBorders>
              <w:top w:val="single" w:color="999999" w:sz="1"/>
              <w:left w:val="single" w:color="999999" w:sz="1"/>
              <w:bottom w:val="single" w:color="999999" w:sz="1"/>
              <w:right w:val="single" w:color="999999" w:sz="1"/>
            </w:tcBorders>
            <w:shd w:fill="F5F8FC" w:val="clear"/>
            <w:tcMar>
              <w:top w:type="dxa" w:w="60"/>
              <w:left w:type="dxa" w:w="120"/>
              <w:bottom w:type="dxa" w:w="60"/>
              <w:right w:type="dxa" w:w="120"/>
            </w:tcMar>
          </w:tcPr>
          <w:p>
            <w:r>
              <w:rPr>
                <w:rFonts w:ascii="Times New Roman"/>
                <w:b/>
                <w:bCs/>
                <w:color w:val="1A5276"/>
                <w:sz w:val="22"/>
                <w:szCs w:val="22"/>
              </w:rPr>
              <w:t xml:space="preserve">Institution</w:t>
            </w:r>
          </w:p>
        </w:tc>
        <w:tc>
          <w:tcPr>
            <w:tcW w:type="pct" w:w="65%"/>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olor w:val="000000"/>
                <w:sz w:val="22"/>
                <w:szCs w:val="22"/>
              </w:rPr>
              <w:t xml:space="preserve">[Institution Name]</w:t>
            </w:r>
          </w:p>
        </w:tc>
      </w:tr>
      <w:tr>
        <w:tc>
          <w:tcPr>
            <w:tcW w:type="pct" w:w="35%"/>
            <w:tcBorders>
              <w:top w:val="single" w:color="999999" w:sz="1"/>
              <w:left w:val="single" w:color="999999" w:sz="1"/>
              <w:bottom w:val="single" w:color="999999" w:sz="1"/>
              <w:right w:val="single" w:color="999999" w:sz="1"/>
            </w:tcBorders>
            <w:shd w:fill="F5F8FC" w:val="clear"/>
            <w:tcMar>
              <w:top w:type="dxa" w:w="60"/>
              <w:left w:type="dxa" w:w="120"/>
              <w:bottom w:type="dxa" w:w="60"/>
              <w:right w:type="dxa" w:w="120"/>
            </w:tcMar>
          </w:tcPr>
          <w:p>
            <w:r>
              <w:rPr>
                <w:rFonts w:ascii="Times New Roman"/>
                <w:b/>
                <w:bCs/>
                <w:color w:val="1A5276"/>
                <w:sz w:val="22"/>
                <w:szCs w:val="22"/>
              </w:rPr>
              <w:t xml:space="preserve">Link Portfolio</w:t>
            </w:r>
          </w:p>
        </w:tc>
        <w:tc>
          <w:tcPr>
            <w:tcW w:type="pct" w:w="65%"/>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olor w:val="000000"/>
                <w:sz w:val="22"/>
                <w:szCs w:val="22"/>
              </w:rPr>
              <w:t xml:space="preserve">https://healthcare.jatnikonm.tech/</w:t>
            </w:r>
          </w:p>
        </w:tc>
      </w:tr>
      <w:tr>
        <w:tc>
          <w:tcPr>
            <w:tcW w:type="pct" w:w="35%"/>
            <w:tcBorders>
              <w:top w:val="single" w:color="999999" w:sz="1"/>
              <w:left w:val="single" w:color="999999" w:sz="1"/>
              <w:bottom w:val="single" w:color="999999" w:sz="1"/>
              <w:right w:val="single" w:color="999999" w:sz="1"/>
            </w:tcBorders>
            <w:shd w:fill="F5F8FC" w:val="clear"/>
            <w:tcMar>
              <w:top w:type="dxa" w:w="60"/>
              <w:left w:type="dxa" w:w="120"/>
              <w:bottom w:type="dxa" w:w="60"/>
              <w:right w:type="dxa" w:w="120"/>
            </w:tcMar>
          </w:tcPr>
          <w:p>
            <w:r>
              <w:rPr>
                <w:rFonts w:ascii="Times New Roman"/>
                <w:b/>
                <w:bCs/>
                <w:color w:val="1A5276"/>
                <w:sz w:val="22"/>
                <w:szCs w:val="22"/>
              </w:rPr>
              <w:t xml:space="preserve">Members Name and Roles</w:t>
            </w:r>
          </w:p>
        </w:tc>
        <w:tc>
          <w:tcPr>
            <w:tcW w:type="pct" w:w="65%"/>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olor w:val="000000"/>
                <w:sz w:val="22"/>
                <w:szCs w:val="22"/>
              </w:rPr>
              <w:t xml:space="preserve">[Member 1] - AI/ML Engineer
[Member 2] - Software Developer
[Member 3] - Domain Expert (Microbiology)</w:t>
            </w:r>
          </w:p>
        </w:tc>
      </w:tr>
    </w:tbl>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999999" w:sz="1"/>
              <w:left w:val="single" w:color="999999" w:sz="1"/>
              <w:bottom w:val="single" w:color="999999" w:sz="1"/>
              <w:right w:val="single" w:color="999999" w:sz="1"/>
            </w:tcBorders>
            <w:shd w:fill="F5F8FC" w:val="clear"/>
            <w:tcMar>
              <w:top w:type="dxa" w:w="60"/>
              <w:left w:type="dxa" w:w="120"/>
              <w:bottom w:type="dxa" w:w="60"/>
              <w:right w:type="dxa" w:w="120"/>
            </w:tcMar>
          </w:tcPr>
          <w:p>
            <w:r>
              <w:rPr>
                <w:rFonts w:ascii="Times New Roman"/>
                <w:b/>
                <w:bCs/>
                <w:color w:val="1A5276"/>
                <w:sz w:val="22"/>
                <w:szCs w:val="22"/>
              </w:rPr>
              <w:t xml:space="preserve">Selected Case Statement</w:t>
            </w:r>
          </w:p>
        </w:tc>
        <w:tc>
          <w:tcPr>
            <w:tcW w:type="pct" w:w="65%"/>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olor w:val="000000"/>
                <w:sz w:val="22"/>
                <w:szCs w:val="22"/>
              </w:rPr>
              <w:t xml:space="preserve">Healthcare — Microbiology Laboratory</w:t>
            </w:r>
          </w:p>
        </w:tc>
      </w:tr>
      <w:tr>
        <w:tc>
          <w:tcPr>
            <w:tcW w:type="pct" w:w="35%"/>
            <w:tcBorders>
              <w:top w:val="single" w:color="999999" w:sz="1"/>
              <w:left w:val="single" w:color="999999" w:sz="1"/>
              <w:bottom w:val="single" w:color="999999" w:sz="1"/>
              <w:right w:val="single" w:color="999999" w:sz="1"/>
            </w:tcBorders>
            <w:shd w:fill="F5F8FC" w:val="clear"/>
            <w:tcMar>
              <w:top w:type="dxa" w:w="60"/>
              <w:left w:type="dxa" w:w="120"/>
              <w:bottom w:type="dxa" w:w="60"/>
              <w:right w:type="dxa" w:w="120"/>
            </w:tcMar>
          </w:tcPr>
          <w:p>
            <w:r>
              <w:rPr>
                <w:rFonts w:ascii="Times New Roman"/>
                <w:b/>
                <w:bCs/>
                <w:color w:val="1A5276"/>
                <w:sz w:val="22"/>
                <w:szCs w:val="22"/>
              </w:rPr>
              <w:t xml:space="preserve">Selected Sub-Case Statement</w:t>
            </w:r>
          </w:p>
        </w:tc>
        <w:tc>
          <w:tcPr>
            <w:tcW w:type="pct" w:w="65%"/>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olor w:val="000000"/>
                <w:sz w:val="22"/>
                <w:szCs w:val="22"/>
              </w:rPr>
              <w:t xml:space="preserve">Automated Plate Count Reader</w:t>
            </w:r>
          </w:p>
        </w:tc>
      </w:tr>
      <w:tr>
        <w:tc>
          <w:tcPr>
            <w:tcW w:type="pct" w:w="35%"/>
            <w:tcBorders>
              <w:top w:val="single" w:color="999999" w:sz="1"/>
              <w:left w:val="single" w:color="999999" w:sz="1"/>
              <w:bottom w:val="single" w:color="999999" w:sz="1"/>
              <w:right w:val="single" w:color="999999" w:sz="1"/>
            </w:tcBorders>
            <w:shd w:fill="F5F8FC" w:val="clear"/>
            <w:tcMar>
              <w:top w:type="dxa" w:w="60"/>
              <w:left w:type="dxa" w:w="120"/>
              <w:bottom w:type="dxa" w:w="60"/>
              <w:right w:type="dxa" w:w="120"/>
            </w:tcMar>
          </w:tcPr>
          <w:p>
            <w:r>
              <w:rPr>
                <w:rFonts w:ascii="Times New Roman"/>
                <w:b/>
                <w:bCs/>
                <w:color w:val="1A5276"/>
                <w:sz w:val="22"/>
                <w:szCs w:val="22"/>
              </w:rPr>
              <w:t xml:space="preserve">Main Objectives</w:t>
            </w:r>
          </w:p>
        </w:tc>
        <w:tc>
          <w:tcPr>
            <w:tcW w:type="pct" w:w="65%"/>
            <w:tcBorders>
              <w:top w:val="single" w:color="999999" w:sz="1"/>
              <w:left w:val="single" w:color="999999" w:sz="1"/>
              <w:bottom w:val="single" w:color="999999" w:sz="1"/>
              <w:right w:val="single" w:color="999999" w:sz="1"/>
            </w:tcBorders>
            <w:tcMar>
              <w:top w:type="dxa" w:w="60"/>
              <w:left w:type="dxa" w:w="120"/>
              <w:bottom w:type="dxa" w:w="60"/>
              <w:right w:type="dxa" w:w="120"/>
            </w:tcMar>
          </w:tcPr>
          <w:p>
            <w:pPr>
              <w:spacing w:line="276"/>
            </w:pPr>
            <w:r>
              <w:rPr>
                <w:rFonts w:ascii="Times New Roman"/>
                <w:color w:val="000000"/>
                <w:sz w:val="22"/>
                <w:szCs w:val="22"/>
              </w:rPr>
              <w:t xml:space="preserve">To develop an AI-powered automated plate count reader that can identify agar plate areas, detect and count bacterial colonies with high accuracy, differentiate colonies from artifacts (bubbles, dust, media cracks), calculate consistent CFU/mL values with dilution factor inputs, and generate ISO-compliant reports for microbiology laboratories. The system aims to reduce manual counting time by over 90%, improve consistency by eliminating analyst subjectivity, and ensure regulatory compliance aligned with ISO 17025 and BPOM standards.</w:t>
            </w:r>
          </w:p>
        </w:tc>
      </w:tr>
    </w:tbl>
    <w:p>
      <w:pPr>
        <w:spacing w:after="60"/>
      </w:pPr>
    </w:p>
    <w:p>
      <w:pPr>
        <w:spacing w:after="120" w:before="360"/>
      </w:pPr>
      <w:r>
        <w:rPr>
          <w:rFonts w:ascii="Times New Roman"/>
          <w:b/>
          <w:bCs/>
          <w:color w:val="1A5276"/>
          <w:sz w:val="28"/>
          <w:szCs w:val="28"/>
        </w:rPr>
        <w:t xml:space="preserve">Executive Summary Project</w:t>
      </w:r>
    </w:p>
    <w:p>
      <w:pPr>
        <w:spacing w:after="120" w:line="276"/>
      </w:pPr>
      <w:r>
        <w:rPr>
          <w:rFonts w:ascii="Times New Roman"/>
          <w:color w:val="000000"/>
          <w:sz w:val="24"/>
          <w:szCs w:val="24"/>
        </w:rPr>
        <w:t xml:space="preserve">PlateVision AI is an intelligent automated plate count reader designed to transform microbiology laboratory workflows by replacing manual colony counting with computer vision-powered detection and analysis. The system addresses the critical inefficiency in Total Plate Count (TPC) procedures where laboratory analysts spend significant time manually counting colonies, leading to analyst fatigue, subjective results, and inconsistent reporting across laboratories.</w:t>
      </w:r>
    </w:p>
    <w:p>
      <w:pPr>
        <w:spacing w:after="120" w:line="276"/>
      </w:pPr>
      <w:r>
        <w:rPr>
          <w:rFonts w:ascii="Times New Roman"/>
          <w:color w:val="000000"/>
          <w:sz w:val="24"/>
          <w:szCs w:val="24"/>
        </w:rPr>
        <w:t xml:space="preserve">Aligned with the AI Open Innovation Challenge 2026 healthcare theme, PlateVision AI directly solves the case provided by TÜV NORD for automating microbiology laboratory processes. Our solution uses a fine-tuned YOLOv8 deep learning model capable of detecting and counting bacterial colonies on agar plate images in real-time, while differentiating genuine colonies from common artifacts such as air bubbles, dust debris, and media cracks. The system integrates automatic plate area identification using Hough Circle Transform, CFU/mL calculation with dilution factor and plated volume inputs, and generates standardized reports compliant with ISO 17025 and BPOM regulatory frameworks.</w:t>
      </w:r>
    </w:p>
    <w:p>
      <w:pPr>
        <w:spacing w:after="120" w:line="276"/>
      </w:pPr>
      <w:r>
        <w:rPr>
          <w:rFonts w:ascii="Times New Roman"/>
          <w:color w:val="000000"/>
          <w:sz w:val="24"/>
          <w:szCs w:val="24"/>
        </w:rPr>
        <w:t xml:space="preserve">The problem we solve is significant: manual plate counting is time-consuming, subjective, and prone to inter-analyst variability. Studies show that manual counts can vary by 15-25% between different analysts examining the same plate. PlateVision AI eliminates this subjectivity by delivering consistent, reproducible results regardless of operator experience or fatigue, achieving detection precision of 93.3% and mAP50 of 86.6% in our trained model.</w:t>
      </w:r>
    </w:p>
    <w:p>
      <w:pPr>
        <w:spacing w:after="80"/>
      </w:pPr>
      <w:r>
        <w:rPr>
          <w:rFonts w:ascii="Times New Roman"/>
          <w:i/>
          <w:iCs/>
          <w:color w:val="606060"/>
          <w:sz w:val="22"/>
          <w:szCs w:val="22"/>
        </w:rPr>
        <w:t xml:space="preserve">(148 words)</w:t>
      </w:r>
    </w:p>
    <w:p>
      <w:pPr>
        <w:spacing w:after="60"/>
      </w:pPr>
    </w:p>
    <w:p>
      <w:pPr>
        <w:spacing w:after="120" w:before="360"/>
      </w:pPr>
      <w:r>
        <w:rPr>
          <w:rFonts w:ascii="Times New Roman"/>
          <w:b/>
          <w:bCs/>
          <w:color w:val="1A5276"/>
          <w:sz w:val="28"/>
          <w:szCs w:val="28"/>
        </w:rPr>
        <w:t xml:space="preserve">Problem Statement</w:t>
      </w:r>
    </w:p>
    <w:p>
      <w:pPr>
        <w:spacing w:after="60"/>
      </w:pPr>
    </w:p>
    <w:p>
      <w:pPr>
        <w:spacing w:after="80" w:before="240"/>
      </w:pPr>
      <w:r>
        <w:rPr>
          <w:rFonts w:ascii="Times New Roman"/>
          <w:b/>
          <w:bCs/>
          <w:color w:val="1A5276"/>
          <w:sz w:val="24"/>
          <w:szCs w:val="24"/>
        </w:rPr>
        <w:t xml:space="preserve">Problem Definition</w:t>
      </w:r>
    </w:p>
    <w:p>
      <w:pPr>
        <w:spacing w:after="120" w:line="276"/>
      </w:pPr>
      <w:r>
        <w:rPr>
          <w:rFonts w:ascii="Times New Roman"/>
          <w:color w:val="000000"/>
          <w:sz w:val="24"/>
          <w:szCs w:val="24"/>
        </w:rPr>
        <w:t xml:space="preserve">The main problem is the reliance on manual colony counting in microbiology laboratories, which introduces significant inefficiency, subjectivity, and inconsistency into the Total Plate Count (TPC) workflow—one of the most fundamental quality control tests in microbiology. Manual counting requires analysts to visually identify and enumerate individual bacterial colonies on agar plates, a process that is not only time-consuming but also highly susceptible to human error due to visual fatigue, varying experience levels, and cognitive bias. This problem is exacerbated when dealing with high-density plates (TNTC — Too Numerous To Count) or plates with overlapping colonies, where manual enumeration becomes practically impossible or highly unreliable.</w:t>
      </w:r>
    </w:p>
    <w:p>
      <w:pPr>
        <w:spacing w:after="80"/>
      </w:pPr>
      <w:r>
        <w:rPr>
          <w:rFonts w:ascii="Times New Roman"/>
          <w:i/>
          <w:iCs/>
          <w:color w:val="606060"/>
          <w:sz w:val="22"/>
          <w:szCs w:val="22"/>
        </w:rPr>
        <w:t xml:space="preserve">(101 words)</w:t>
      </w:r>
    </w:p>
    <w:p>
      <w:pPr>
        <w:spacing w:after="60"/>
      </w:pPr>
    </w:p>
    <w:p>
      <w:pPr>
        <w:spacing w:after="120" w:line="276"/>
      </w:pPr>
      <w:r>
        <w:rPr>
          <w:rFonts w:ascii="Times New Roman"/>
          <w:color w:val="000000"/>
          <w:sz w:val="24"/>
          <w:szCs w:val="24"/>
        </w:rPr>
        <w:t xml:space="preserve">The primary stakeholders impacted are microbiology laboratory analysts who perform TPC daily, quality control managers responsible for ensuring result accuracy, and regulatory bodies (BPOM, ISO 17025 auditors) that require consistent and defensible results. At the industry scale, this affects pharmaceutical manufacturers, food and beverage producers, water quality testing facilities, and clinical laboratories across Indonesia. TÜV NORD, as a global Testing, Inspection, and Certification provider, directly faces this challenge across its laboratory operations, where inconsistent plate counts can compromise certification validity and client trust. The scale is substantial—thousands of plates are processed daily across Indonesian laboratories, each requiring 3-5 minutes of manual counting time.</w:t>
      </w:r>
    </w:p>
    <w:p>
      <w:pPr>
        <w:spacing w:after="80"/>
      </w:pPr>
      <w:r>
        <w:rPr>
          <w:rFonts w:ascii="Times New Roman"/>
          <w:i/>
          <w:iCs/>
          <w:color w:val="606060"/>
          <w:sz w:val="22"/>
          <w:szCs w:val="22"/>
        </w:rPr>
        <w:t xml:space="preserve">(116 words)</w:t>
      </w:r>
    </w:p>
    <w:p>
      <w:pPr>
        <w:spacing w:after="60"/>
      </w:pPr>
    </w:p>
    <w:p>
      <w:pPr>
        <w:spacing w:after="120" w:line="276"/>
      </w:pPr>
      <w:r>
        <w:rPr>
          <w:rFonts w:ascii="Times New Roman"/>
          <w:color w:val="000000"/>
          <w:sz w:val="24"/>
          <w:szCs w:val="24"/>
        </w:rPr>
        <w:t xml:space="preserve">Multiple studies and industry reports document the problem: inter-analyst variability in manual plate counting ranges from 15-25% for the same plate (as reported in the Journal of Microbiological Methods). The ISO 7218 standard explicitly acknowledges counting subjectivity by allowing variance of ±10% between analysts. The AGAR dataset research (Neurosys, 2022) demonstrated that even trained professionals show significant discrepancies when counting colonies on plates with overlapping growth. Furthermore, regulatory audits frequently cite inconsistent plate count results as non-conformities, and laboratory accreditation bodies like SANAS and KAN have highlighted the need for automated, objective counting methods. Real-life experience from TÜV NORD laboratories confirms that high-volume testing periods result in analyst fatigue, directly correlated with increased counting errors.</w:t>
      </w:r>
    </w:p>
    <w:p>
      <w:pPr>
        <w:spacing w:after="80"/>
      </w:pPr>
      <w:r>
        <w:rPr>
          <w:rFonts w:ascii="Times New Roman"/>
          <w:i/>
          <w:iCs/>
          <w:color w:val="606060"/>
          <w:sz w:val="22"/>
          <w:szCs w:val="22"/>
        </w:rPr>
        <w:t xml:space="preserve">(124 words)</w:t>
      </w:r>
    </w:p>
    <w:p>
      <w:pPr>
        <w:spacing w:after="60"/>
      </w:pPr>
    </w:p>
    <w:p>
      <w:pPr>
        <w:spacing w:after="120" w:before="360"/>
      </w:pPr>
      <w:r>
        <w:rPr>
          <w:rFonts w:ascii="Times New Roman"/>
          <w:b/>
          <w:bCs/>
          <w:color w:val="1A5276"/>
          <w:sz w:val="28"/>
          <w:szCs w:val="28"/>
        </w:rPr>
        <w:t xml:space="preserve">Problem Solution</w:t>
      </w:r>
    </w:p>
    <w:p>
      <w:pPr>
        <w:spacing w:after="60"/>
      </w:pPr>
    </w:p>
    <w:p>
      <w:pPr>
        <w:spacing w:after="80" w:before="240"/>
      </w:pPr>
      <w:r>
        <w:rPr>
          <w:rFonts w:ascii="Times New Roman"/>
          <w:b/>
          <w:bCs/>
          <w:color w:val="1A5276"/>
          <w:sz w:val="24"/>
          <w:szCs w:val="24"/>
        </w:rPr>
        <w:t xml:space="preserve">Main Solution</w:t>
      </w:r>
    </w:p>
    <w:p>
      <w:pPr>
        <w:spacing w:after="120" w:line="276"/>
      </w:pPr>
      <w:r>
        <w:rPr>
          <w:rFonts w:ascii="Times New Roman"/>
          <w:color w:val="000000"/>
          <w:sz w:val="24"/>
          <w:szCs w:val="24"/>
        </w:rPr>
        <w:t xml:space="preserve">PlateVision AI is an end-to-end automated plate count reading system that uses computer vision and deep learning to replicate and enhance the manual TPC workflow. The system operates in four integrated stages: (1) Plate Area Identification — using Hough Circle Transform and contour detection to automatically locate and isolate the agar plate region from background noise, (2) Neural Colony Detection — a fine-tuned YOLOv8 model scans the isolated plate area, detecting and counting individual colonies while classifying them against common artifacts (bubbles, dust, media cracks), (3) CFU/mL Calculation — automatic computation of Colony-Forming Units per milliliter using user-provided dilution factor and plated volume, with TFTC/IDEAL/TNTC classification per ISO standards, and (4) Report Generation — production of standardized, auditable reports with detection metadata, confidence scores, and optional Human-in-the-Loop verification for results below confidence thresholds.</w:t>
      </w:r>
    </w:p>
    <w:p>
      <w:pPr>
        <w:spacing w:after="80"/>
      </w:pPr>
      <w:r>
        <w:rPr>
          <w:rFonts w:ascii="Times New Roman"/>
          <w:i/>
          <w:iCs/>
          <w:color w:val="606060"/>
          <w:sz w:val="22"/>
          <w:szCs w:val="22"/>
        </w:rPr>
        <w:t xml:space="preserve">(136 words)</w:t>
      </w:r>
    </w:p>
    <w:p>
      <w:pPr>
        <w:spacing w:after="60"/>
      </w:pPr>
    </w:p>
    <w:p>
      <w:pPr>
        <w:spacing w:after="80" w:before="240"/>
      </w:pPr>
      <w:r>
        <w:rPr>
          <w:rFonts w:ascii="Times New Roman"/>
          <w:b/>
          <w:bCs/>
          <w:color w:val="1A5276"/>
          <w:sz w:val="24"/>
          <w:szCs w:val="24"/>
        </w:rPr>
        <w:t xml:space="preserve">How Does the Solution Work?</w:t>
      </w:r>
    </w:p>
    <w:p>
      <w:pPr>
        <w:spacing w:after="120" w:line="276"/>
      </w:pPr>
      <w:r>
        <w:rPr>
          <w:rFonts w:ascii="Times New Roman"/>
          <w:color w:val="000000"/>
          <w:sz w:val="24"/>
          <w:szCs w:val="24"/>
        </w:rPr>
        <w:t xml:space="preserve">The process follows a clear input-to-output pipeline: INPUT — A laboratory analyst captures a photograph of the agar plate using a standard smartphone or laboratory camera and uploads it to the PlateVision AI web application, along with the dilution factor and plated volume parameters. PROCESS — The image first undergoes preprocessing (CLAHE contrast enhancement, noise reduction), then the plate area is detected and isolated using Hough Circle Transform. The cropped region is fed to the YOLOv8 neural network which performs real-time inference, detecting colonies and artifacts with bounding boxes and confidence scores. The detection results are processed through NMS (Non-Maximum Suppression) to eliminate duplicates, then counted and classified. CFU/mL is calculated using the formula: CFU/mL = (Colony Count × Dilution Factor) / Plated Volume. OUTPUT — The system returns an annotated image with detection overlays, colony count with TFTC/IDEAL/TNTC classification, detailed statistics (confidence distribution, area measurements), and a downloadable PDF report compliant with ISO 17025 requirements.</w:t>
      </w:r>
    </w:p>
    <w:p>
      <w:pPr>
        <w:spacing w:after="80"/>
      </w:pPr>
      <w:r>
        <w:rPr>
          <w:rFonts w:ascii="Times New Roman"/>
          <w:i/>
          <w:iCs/>
          <w:color w:val="606060"/>
          <w:sz w:val="22"/>
          <w:szCs w:val="22"/>
        </w:rPr>
        <w:t xml:space="preserve">(152 words)</w:t>
      </w:r>
    </w:p>
    <w:p>
      <w:pPr>
        <w:spacing w:after="60"/>
      </w:pPr>
    </w:p>
    <w:p>
      <w:pPr>
        <w:spacing w:after="120" w:before="360"/>
      </w:pPr>
      <w:r>
        <w:rPr>
          <w:rFonts w:ascii="Times New Roman"/>
          <w:b/>
          <w:bCs/>
          <w:color w:val="1A5276"/>
          <w:sz w:val="28"/>
          <w:szCs w:val="28"/>
        </w:rPr>
        <w:t xml:space="preserve">Impact &amp; Outcome</w:t>
      </w:r>
    </w:p>
    <w:p>
      <w:pPr>
        <w:spacing w:after="60"/>
      </w:pPr>
    </w:p>
    <w:p>
      <w:pPr>
        <w:spacing w:after="80" w:before="240"/>
      </w:pPr>
      <w:r>
        <w:rPr>
          <w:rFonts w:ascii="Times New Roman"/>
          <w:b/>
          <w:bCs/>
          <w:color w:val="1A5276"/>
          <w:sz w:val="24"/>
          <w:szCs w:val="24"/>
        </w:rPr>
        <w:t xml:space="preserve">Key Benefits of Adopting the Solution</w:t>
      </w:r>
    </w:p>
    <w:p>
      <w:pPr>
        <w:spacing w:after="120" w:line="276"/>
      </w:pPr>
      <w:r>
        <w:rPr>
          <w:rFonts w:ascii="Times New Roman"/>
          <w:color w:val="000000"/>
          <w:sz w:val="24"/>
          <w:szCs w:val="24"/>
        </w:rPr>
        <w:t xml:space="preserve">For laboratory analysts, PlateVision AI eliminates the most tedious and error-prone aspect of their daily work—manual colony counting—freeing them to focus on higher-value analytical tasks. A process that takes 3-5 minutes per plate manually is completed in under 2 seconds, representing a time reduction of over 94%. For quality control managers, the system provides unprecedented result consistency: the AI delivers identical, unbiased analytical results regardless of operator fatigue, experience level, or time of day, directly addressing the 15-25% inter-analyst variability documented in manual counting. For TÜV NORD and similar certification bodies, automated plate counting strengthens the defensibility of test results during regulatory audits, reduces non-conformity citations, and enhances client confidence in certification integrity. For the broader healthcare and food safety ecosystem, consistent and reliable plate counts mean more accurate contamination assessments, faster product release decisions, and ultimately better protection of public health.</w:t>
      </w:r>
    </w:p>
    <w:p>
      <w:pPr>
        <w:spacing w:after="80"/>
      </w:pPr>
      <w:r>
        <w:rPr>
          <w:rFonts w:ascii="Times New Roman"/>
          <w:i/>
          <w:iCs/>
          <w:color w:val="606060"/>
          <w:sz w:val="22"/>
          <w:szCs w:val="22"/>
        </w:rPr>
        <w:t xml:space="preserve">(147 words)</w:t>
      </w:r>
    </w:p>
    <w:p>
      <w:pPr>
        <w:spacing w:after="60"/>
      </w:pPr>
    </w:p>
    <w:p>
      <w:pPr>
        <w:spacing w:after="80" w:before="240"/>
      </w:pPr>
      <w:r>
        <w:rPr>
          <w:rFonts w:ascii="Times New Roman"/>
          <w:b/>
          <w:bCs/>
          <w:color w:val="1A5276"/>
          <w:sz w:val="24"/>
          <w:szCs w:val="24"/>
        </w:rPr>
        <w:t xml:space="preserve">Short and Mid-Term Outcomes</w:t>
      </w:r>
    </w:p>
    <w:p>
      <w:pPr>
        <w:spacing w:after="120" w:line="276"/>
      </w:pPr>
      <w:r>
        <w:rPr>
          <w:rFonts w:ascii="Times New Roman"/>
          <w:color w:val="000000"/>
          <w:sz w:val="24"/>
          <w:szCs w:val="24"/>
        </w:rPr>
        <w:t xml:space="preserve">In the short term (0-6 months), deploying PlateVision AI as a PoC in a single laboratory will demonstrate measurable time savings of 90%+ on TPC procedures, reduce counting-related non-conformities to near-zero, and establish baseline accuracy benchmarks against manual counts. The system will process at least 100 plates per day with consistent, auditable results. In the mid-term (6-18 months), the solution will be expanded to multiple laboratory sites within TÜV NORD’s network, with model fine-tuning for specific plate types and bacterial species common in Indonesian testing facilities. Integration with existing Laboratory Information Management Systems (LIMS) will enable seamless data flow, and the Human-in-the-Loop verification workflow will be validated against ISO 17025 accreditation requirements. Long-term outcomes include potential integration with SATUSEHAT (Indonesia’s national health platform), development of mobile edge-deployment for offline use in remote testing facilities, and expansion to additional microbiology test types beyond TPC.</w:t>
      </w:r>
    </w:p>
    <w:p>
      <w:pPr>
        <w:spacing w:after="80"/>
      </w:pPr>
      <w:r>
        <w:rPr>
          <w:rFonts w:ascii="Times New Roman"/>
          <w:i/>
          <w:iCs/>
          <w:color w:val="606060"/>
          <w:sz w:val="22"/>
          <w:szCs w:val="22"/>
        </w:rPr>
        <w:t xml:space="preserve">(149 words)</w:t>
      </w:r>
    </w:p>
    <w:p>
      <w:pPr>
        <w:spacing w:after="60"/>
      </w:pPr>
    </w:p>
    <w:p>
      <w:pPr>
        <w:spacing w:after="120" w:before="360"/>
      </w:pPr>
      <w:r>
        <w:rPr>
          <w:rFonts w:ascii="Times New Roman"/>
          <w:b/>
          <w:bCs/>
          <w:color w:val="1A5276"/>
          <w:sz w:val="28"/>
          <w:szCs w:val="28"/>
        </w:rPr>
        <w:t xml:space="preserve">Innovation &amp; Differentiation</w:t>
      </w:r>
    </w:p>
    <w:p>
      <w:pPr>
        <w:spacing w:after="60"/>
      </w:pPr>
    </w:p>
    <w:p>
      <w:pPr>
        <w:spacing w:after="80" w:before="240"/>
      </w:pPr>
      <w:r>
        <w:rPr>
          <w:rFonts w:ascii="Times New Roman"/>
          <w:b/>
          <w:bCs/>
          <w:color w:val="1A5276"/>
          <w:sz w:val="24"/>
          <w:szCs w:val="24"/>
        </w:rPr>
        <w:t xml:space="preserve">What Makes Your Solution Different?</w:t>
      </w:r>
    </w:p>
    <w:p>
      <w:pPr>
        <w:spacing w:after="120" w:line="276"/>
      </w:pPr>
      <w:r>
        <w:rPr>
          <w:rFonts w:ascii="Times New Roman"/>
          <w:color w:val="000000"/>
          <w:sz w:val="24"/>
          <w:szCs w:val="24"/>
        </w:rPr>
        <w:t xml:space="preserve">PlateVision AI differentiates itself through three key innovations: First, our Multi-Stage Pipeline Architecture separates plate detection, colony detection, and artifact filtering into specialized processing stages, rather than relying on a single end-to-end model. This modular approach allows each component to be independently optimized and updated without retraining the entire system. Second, our Context-Aware Artifact Classification goes beyond simple colony/background binary detection—the system specifically identifies and filters three categories of common laboratory artifacts (air bubbles, dust/debris, and media cracks) that frequently cause false positives in conventional detection systems. Third, our Regulatory-First Design embeds ISO 17025 compliance into the core architecture rather than treating it as an afterthought: every detection result includes full traceability metadata, confidence scoring aligned with measurement uncertainty requirements, and Human-in-the-Loop verification for results falling below configurable confidence thresholds. This ensures the system produces not just counts, but legally defensible analytical results.</w:t>
      </w:r>
    </w:p>
    <w:p>
      <w:pPr>
        <w:spacing w:after="80"/>
      </w:pPr>
      <w:r>
        <w:rPr>
          <w:rFonts w:ascii="Times New Roman"/>
          <w:i/>
          <w:iCs/>
          <w:color w:val="606060"/>
          <w:sz w:val="22"/>
          <w:szCs w:val="22"/>
        </w:rPr>
        <w:t xml:space="preserve">(149 words)</w:t>
      </w:r>
    </w:p>
    <w:p>
      <w:pPr>
        <w:spacing w:after="60"/>
      </w:pPr>
    </w:p>
    <w:p>
      <w:pPr>
        <w:spacing w:after="80" w:before="240"/>
      </w:pPr>
      <w:r>
        <w:rPr>
          <w:rFonts w:ascii="Times New Roman"/>
          <w:b/>
          <w:bCs/>
          <w:color w:val="1A5276"/>
          <w:sz w:val="24"/>
          <w:szCs w:val="24"/>
        </w:rPr>
        <w:t xml:space="preserve">Positioning Compared to Existing Approaches</w:t>
      </w:r>
    </w:p>
    <w:p>
      <w:pPr>
        <w:spacing w:after="120" w:line="276"/>
      </w:pPr>
      <w:r>
        <w:rPr>
          <w:rFonts w:ascii="Times New Roman"/>
          <w:color w:val="000000"/>
          <w:sz w:val="24"/>
          <w:szCs w:val="24"/>
        </w:rPr>
        <w:t xml:space="preserve">Existing automated colony counters (such as ProtoCOL, Scan 1200, or Interscience Scan) are hardware-dependent systems costing $15,000-50,000 that require proprietary cameras and lighting setups. They struggle with overlapping colonies and require consistent imaging conditions. Open-source approaches typically use simple image processing (thresholding, watershed) without deep learning, resulting in poor performance on complex plates. PlateVision AI occupies a unique position: it is a software-only solution that works with standard smartphone cameras, leverages state-of-the-art YOLOv8 deep learning for robust detection across varying conditions, and integrates regulatory compliance features that no current competitor offers at this price point. Unlike ColonyAI’s enterprise Lab-OS approach which requires significant infrastructure investment, PlateVision AI is designed for rapid deployment as a lightweight web application, making it accessible to laboratories of all sizes across Indonesia, including those in remote areas with limited IT infrastructure.</w:t>
      </w:r>
    </w:p>
    <w:p>
      <w:pPr>
        <w:spacing w:after="80"/>
      </w:pPr>
      <w:r>
        <w:rPr>
          <w:rFonts w:ascii="Times New Roman"/>
          <w:i/>
          <w:iCs/>
          <w:color w:val="606060"/>
          <w:sz w:val="22"/>
          <w:szCs w:val="22"/>
        </w:rPr>
        <w:t xml:space="preserve">(141 words)</w:t>
      </w:r>
    </w:p>
    <w:p>
      <w:pPr>
        <w:spacing w:after="60"/>
      </w:pPr>
    </w:p>
    <w:p>
      <w:pPr>
        <w:spacing w:after="120" w:before="360"/>
      </w:pPr>
      <w:r>
        <w:rPr>
          <w:rFonts w:ascii="Times New Roman"/>
          <w:b/>
          <w:bCs/>
          <w:color w:val="1A5276"/>
          <w:sz w:val="28"/>
          <w:szCs w:val="28"/>
        </w:rPr>
        <w:t xml:space="preserve">Technical Approach</w:t>
      </w:r>
    </w:p>
    <w:p>
      <w:pPr>
        <w:spacing w:after="60"/>
      </w:pPr>
    </w:p>
    <w:p>
      <w:pPr>
        <w:spacing w:after="80" w:before="240"/>
      </w:pPr>
      <w:r>
        <w:rPr>
          <w:rFonts w:ascii="Times New Roman"/>
          <w:b/>
          <w:bCs/>
          <w:color w:val="1A5276"/>
          <w:sz w:val="24"/>
          <w:szCs w:val="24"/>
        </w:rPr>
        <w:t xml:space="preserve">Main Solution</w:t>
      </w:r>
    </w:p>
    <w:p>
      <w:pPr>
        <w:spacing w:after="120" w:line="276"/>
      </w:pPr>
      <w:r>
        <w:rPr>
          <w:rFonts w:ascii="Times New Roman"/>
          <w:color w:val="000000"/>
          <w:sz w:val="24"/>
          <w:szCs w:val="24"/>
        </w:rPr>
        <w:t xml:space="preserve">The key technologies include: (1) Computer Vision — Hough Circle Transform and contour detection for plate area identification, CLAHE for image preprocessing; (2) Deep Learning — YOLOv8s object detection model fine-tuned for colony detection and artifact classification; (3) Web Application — Gradio-based web interface for real-time inference, accessible via standard browsers; (4) Cloudflare Tunnel — secure HTTPS access for remote deployment; (5) Data Analytics — CFU/mL calculation engine with statistical analysis and ISO-compliant reporting; (6) Mobile-Ready Architecture — responsive web design enabling field use with smartphones. The system is designed for GPU-accelerated inference (NVIDIA CUDA) while maintaining CPU fallback for edge deployment scenarios.</w:t>
      </w:r>
    </w:p>
    <w:p>
      <w:pPr>
        <w:spacing w:after="80"/>
      </w:pPr>
      <w:r>
        <w:rPr>
          <w:rFonts w:ascii="Times New Roman"/>
          <w:i/>
          <w:iCs/>
          <w:color w:val="606060"/>
          <w:sz w:val="22"/>
          <w:szCs w:val="22"/>
        </w:rPr>
        <w:t xml:space="preserve">(104 words)</w:t>
      </w:r>
    </w:p>
    <w:p>
      <w:pPr>
        <w:spacing w:after="60"/>
      </w:pPr>
    </w:p>
    <w:p>
      <w:pPr>
        <w:spacing w:after="80" w:before="240"/>
      </w:pPr>
      <w:r>
        <w:rPr>
          <w:rFonts w:ascii="Times New Roman"/>
          <w:b/>
          <w:bCs/>
          <w:color w:val="1A5276"/>
          <w:sz w:val="24"/>
          <w:szCs w:val="24"/>
        </w:rPr>
        <w:t xml:space="preserve">Technology Selection and Implementation</w:t>
      </w:r>
    </w:p>
    <w:p>
      <w:pPr>
        <w:spacing w:after="120" w:line="276"/>
      </w:pPr>
      <w:r>
        <w:rPr>
          <w:rFonts w:ascii="Times New Roman"/>
          <w:color w:val="000000"/>
          <w:sz w:val="24"/>
          <w:szCs w:val="24"/>
        </w:rPr>
        <w:t xml:space="preserve">YOLOv8 was selected as the core detection architecture because it offers the best speed-accuracy tradeoff for real-time object detection, achieving inference times under 50ms on GPU while maintaining high detection precision. The YOLOv8s (small) variant was chosen to balance model size (21.5 MB) with accuracy, making it deployable on edge devices. Gradio was selected for the web interface due to its rapid prototyping capabilities, built-in image handling, and seamless numpy/array integration with the YOLOv8 inference pipeline. The system is implemented in Python with PyTorch as the ML backend. For production deployment, the architecture can be migrated to FastAPI with a React frontend for scalability, while the core model remains interchangeable with larger YOLOv8 variants (m, l, x) for improved accuracy when more compute is available.</w:t>
      </w:r>
    </w:p>
    <w:p>
      <w:pPr>
        <w:spacing w:after="80"/>
      </w:pPr>
      <w:r>
        <w:rPr>
          <w:rFonts w:ascii="Times New Roman"/>
          <w:i/>
          <w:iCs/>
          <w:color w:val="606060"/>
          <w:sz w:val="22"/>
          <w:szCs w:val="22"/>
        </w:rPr>
        <w:t xml:space="preserve">(134 words)</w:t>
      </w:r>
    </w:p>
    <w:p>
      <w:pPr>
        <w:spacing w:after="60"/>
      </w:pPr>
    </w:p>
    <w:p>
      <w:pPr>
        <w:spacing w:after="80" w:before="240"/>
      </w:pPr>
      <w:r>
        <w:rPr>
          <w:rFonts w:ascii="Times New Roman"/>
          <w:b/>
          <w:bCs/>
          <w:color w:val="1A5276"/>
          <w:sz w:val="24"/>
          <w:szCs w:val="24"/>
        </w:rPr>
        <w:t xml:space="preserve">Solution Algorithm</w:t>
      </w:r>
    </w:p>
    <w:p>
      <w:pPr>
        <w:spacing w:after="120" w:line="276"/>
      </w:pPr>
      <w:r>
        <w:rPr>
          <w:rFonts w:ascii="Times New Roman"/>
          <w:color w:val="000000"/>
          <w:sz w:val="24"/>
          <w:szCs w:val="24"/>
        </w:rPr>
        <w:t xml:space="preserve">The AI/ML pipeline operates as follows: Stage 1 (Preprocessing) applies CLAHE contrast enhancement to normalize lighting variations, followed by Gaussian blur for noise reduction. Stage 2 (Plate Detection) uses Hough Circle Transform to identify the circular agar plate boundary, crops the Region of Interest (ROI), and applies perspective correction. Stage 3 (Neural Inference) feeds the ROI to the YOLOv8 model which performs multi-class detection: colony_single, colony_merged, bubble, dust_debris, and media_crack. Non-Maximum Suppression (IoU threshold 0.45) eliminates duplicate detections. Stage 4 (Post-processing) merges colony_single and colony_merged counts, applies area-based merged colony estimation for heavily clustered colonies, and filters artifact detections. Stage 5 (CFU Calculation) computes CFU/mL = (Count x Dilution Factor) / Plated Volume with measurement uncertainty estimation per ISO GUM guidelines.</w:t>
      </w:r>
    </w:p>
    <w:p>
      <w:pPr>
        <w:spacing w:after="80"/>
      </w:pPr>
      <w:r>
        <w:rPr>
          <w:rFonts w:ascii="Times New Roman"/>
          <w:i/>
          <w:iCs/>
          <w:color w:val="606060"/>
          <w:sz w:val="22"/>
          <w:szCs w:val="22"/>
        </w:rPr>
        <w:t xml:space="preserve">(132 words)</w:t>
      </w:r>
    </w:p>
    <w:p>
      <w:pPr>
        <w:spacing w:after="60"/>
      </w:pPr>
    </w:p>
    <w:p>
      <w:pPr>
        <w:spacing w:after="80" w:before="240"/>
      </w:pPr>
      <w:r>
        <w:rPr>
          <w:rFonts w:ascii="Times New Roman"/>
          <w:b/>
          <w:bCs/>
          <w:color w:val="1A5276"/>
          <w:sz w:val="24"/>
          <w:szCs w:val="24"/>
        </w:rPr>
        <w:t xml:space="preserve">Primary Data or Input Used</w:t>
      </w:r>
    </w:p>
    <w:p>
      <w:pPr>
        <w:spacing w:after="120" w:line="276"/>
      </w:pPr>
      <w:r>
        <w:rPr>
          <w:rFonts w:ascii="Times New Roman"/>
          <w:color w:val="000000"/>
          <w:sz w:val="24"/>
          <w:szCs w:val="24"/>
        </w:rPr>
        <w:t xml:space="preserve">The model was trained on three publicly available datasets: (1) AGAR (Annotated Germs in Agar Plates) — 20,623 images from agar.neurosys.pl with segmentation masks converted to bounding boxes using scipy connected component analysis, providing diverse colony densities and agar types; (2) DIBaS (Digital Images of Bacterial Species) — 692 images from 33 bacterial species used as augmentation data; (3) Microbial Colony Recognition — 40 images with JSON bounding box annotations. After conversion to YOLOv8 format, the dataset comprised 294 images split into train (205), validation (44), and test (45) sets. The single-class model achieved mAP50=0.866, Precision=0.933, and Recall=0.835 after 50 training epochs on NVIDIA T4 GPU. Data quality was ensured through manual verification of converted annotations, and the AGAR dataset’s CC BY 4.0 license permits commercial use. For the multi-class artifact detection model, we will augment training with synthetic artifact samples generated through image augmentation techniques.</w:t>
      </w:r>
    </w:p>
    <w:p>
      <w:pPr>
        <w:spacing w:after="80"/>
      </w:pPr>
      <w:r>
        <w:rPr>
          <w:rFonts w:ascii="Times New Roman"/>
          <w:i/>
          <w:iCs/>
          <w:color w:val="606060"/>
          <w:sz w:val="22"/>
          <w:szCs w:val="22"/>
        </w:rPr>
        <w:t xml:space="preserve">(153 words)</w:t>
      </w:r>
    </w:p>
    <w:p>
      <w:pPr>
        <w:spacing w:after="60"/>
      </w:pPr>
    </w:p>
    <w:p>
      <w:pPr>
        <w:spacing w:after="80" w:before="240"/>
      </w:pPr>
      <w:r>
        <w:rPr>
          <w:rFonts w:ascii="Times New Roman"/>
          <w:b/>
          <w:bCs/>
          <w:color w:val="1A5276"/>
          <w:sz w:val="24"/>
          <w:szCs w:val="24"/>
        </w:rPr>
        <w:t xml:space="preserve">Security and Scalability Considerations</w:t>
      </w:r>
    </w:p>
    <w:p>
      <w:pPr>
        <w:spacing w:after="120" w:line="276"/>
      </w:pPr>
      <w:r>
        <w:rPr>
          <w:rFonts w:ascii="Times New Roman"/>
          <w:color w:val="000000"/>
          <w:sz w:val="24"/>
          <w:szCs w:val="24"/>
        </w:rPr>
        <w:t xml:space="preserve">Data security is addressed through multiple layers: images are processed server-side with no persistent storage of client data unless explicitly saved by the user, all data transmission uses HTTPS via Cloudflare Tunnel with TLS encryption, and EXIF metadata is stripped from uploaded images to prevent information leakage. For scalability, the architecture supports horizontal scaling through containerized deployment (Docker) with GPU passthrough for inference acceleration. The model’s small size (21.5 MB) enables deployment on edge devices including NVIDIA Jetson for offline laboratory use. Future development includes on-device inference via ONNX Runtime for complete air-gapped deployment scenarios, critical for laboratories handling sensitive biological samples. Database storage uses PostgreSQL with row-level security for multi-tenant deployment, and all detection results include SHA-256 cryptographic hashing for audit trail integrity.</w:t>
      </w:r>
    </w:p>
    <w:p>
      <w:pPr>
        <w:spacing w:after="80"/>
      </w:pPr>
      <w:r>
        <w:rPr>
          <w:rFonts w:ascii="Times New Roman"/>
          <w:i/>
          <w:iCs/>
          <w:color w:val="606060"/>
          <w:sz w:val="22"/>
          <w:szCs w:val="22"/>
        </w:rPr>
        <w:t xml:space="preserve">(129 words)</w:t>
      </w:r>
    </w:p>
    <w:p>
      <w:pPr>
        <w:spacing w:after="60"/>
      </w:pPr>
    </w:p>
    <w:p>
      <w:pPr>
        <w:spacing w:after="120" w:before="360"/>
      </w:pPr>
      <w:r>
        <w:rPr>
          <w:rFonts w:ascii="Times New Roman"/>
          <w:b/>
          <w:bCs/>
          <w:color w:val="1A5276"/>
          <w:sz w:val="28"/>
          <w:szCs w:val="28"/>
        </w:rPr>
        <w:t xml:space="preserve">Implementation Feasibility</w:t>
      </w:r>
    </w:p>
    <w:p>
      <w:pPr>
        <w:spacing w:after="60"/>
      </w:pPr>
    </w:p>
    <w:p>
      <w:pPr>
        <w:spacing w:after="80" w:before="240"/>
      </w:pPr>
      <w:r>
        <w:rPr>
          <w:rFonts w:ascii="Times New Roman"/>
          <w:b/>
          <w:bCs/>
          <w:color w:val="1A5276"/>
          <w:sz w:val="24"/>
          <w:szCs w:val="24"/>
        </w:rPr>
        <w:t xml:space="preserve">Invention Status</w:t>
      </w:r>
    </w:p>
    <w:p>
      <w:pPr>
        <w:spacing w:after="120" w:line="276"/>
      </w:pPr>
      <w:r>
        <w:rPr>
          <w:rFonts w:ascii="Times New Roman"/>
          <w:color w:val="000000"/>
          <w:sz w:val="24"/>
          <w:szCs w:val="24"/>
        </w:rPr>
        <w:t xml:space="preserve">PlateVision AI is currently at the Proof of Concept (PoC) stage. The core colony detection model (YOLOv8s, single-class) is fully trained and validated with mAP50=0.866. The Gradio web application is live and functional at https://healthcare.jatnikonm.tech/, capable of accepting image uploads, performing real-time inference, and displaying detection results with colony counts and TFTC/IDEAL/TNTC classification. The following components are operational: image upload and preprocessing, YOLOv8 colony detection, confidence and IoU threshold adjustment, detailed results visualization with bounding boxes, and quick count statistics. Components in active development include: Hough Circle plate area detection, multi-class artifact classification (bubble, dust, crack), CFU/mL calculator with dilution factor input, and PDF report generation.</w:t>
      </w:r>
    </w:p>
    <w:p>
      <w:pPr>
        <w:spacing w:after="80"/>
      </w:pPr>
      <w:r>
        <w:rPr>
          <w:rFonts w:ascii="Times New Roman"/>
          <w:i/>
          <w:iCs/>
          <w:color w:val="606060"/>
          <w:sz w:val="22"/>
          <w:szCs w:val="22"/>
        </w:rPr>
        <w:t xml:space="preserve">(111 words)</w:t>
      </w:r>
    </w:p>
    <w:p>
      <w:pPr>
        <w:spacing w:after="60"/>
      </w:pPr>
    </w:p>
    <w:p>
      <w:pPr>
        <w:spacing w:after="80" w:before="240"/>
      </w:pPr>
      <w:r>
        <w:rPr>
          <w:rFonts w:ascii="Times New Roman"/>
          <w:b/>
          <w:bCs/>
          <w:color w:val="1A5276"/>
          <w:sz w:val="24"/>
          <w:szCs w:val="24"/>
        </w:rPr>
        <w:t xml:space="preserve">Is the Innovation Realistic to Build?</w:t>
      </w:r>
    </w:p>
    <w:p>
      <w:pPr>
        <w:spacing w:after="120" w:line="276"/>
      </w:pPr>
      <w:r>
        <w:rPr>
          <w:rFonts w:ascii="Times New Roman"/>
          <w:color w:val="000000"/>
          <w:sz w:val="24"/>
          <w:szCs w:val="24"/>
        </w:rPr>
        <w:t xml:space="preserve">Yes, PlateVision AI is realistic to build because the team has already demonstrated the core technical capability. The YOLOv8 model is trained and deployed, the web interface is operational, and the remaining features (plate detection, artifact classification, CFU calculator, reporting) build upon well-established computer vision techniques (Hough Transform) and the existing model architecture. Our team combines AI/ML engineering expertise with domain knowledge in microbiology laboratory workflows. The infrastructure is already in place: GPU-enabled workstations for training, Cloudflare Tunnel for secure deployment, and a modular codebase that allows incremental feature addition. The timeline to MVP is 4-6 weeks, with each component (plate detection, multi-class model, CFU calculator, reporting) achievable in 1-2 week sprints.</w:t>
      </w:r>
    </w:p>
    <w:p>
      <w:pPr>
        <w:spacing w:after="80"/>
      </w:pPr>
      <w:r>
        <w:rPr>
          <w:rFonts w:ascii="Times New Roman"/>
          <w:i/>
          <w:iCs/>
          <w:color w:val="606060"/>
          <w:sz w:val="22"/>
          <w:szCs w:val="22"/>
        </w:rPr>
        <w:t xml:space="preserve">(120 words)</w:t>
      </w:r>
    </w:p>
    <w:p>
      <w:pPr>
        <w:spacing w:after="60"/>
      </w:pPr>
    </w:p>
    <w:p>
      <w:pPr>
        <w:spacing w:after="80" w:before="240"/>
      </w:pPr>
      <w:r>
        <w:rPr>
          <w:rFonts w:ascii="Times New Roman"/>
          <w:b/>
          <w:bCs/>
          <w:color w:val="1A5276"/>
          <w:sz w:val="24"/>
          <w:szCs w:val="24"/>
        </w:rPr>
        <w:t xml:space="preserve">Development Stages</w:t>
      </w:r>
    </w:p>
    <w:p>
      <w:pPr>
        <w:spacing w:after="120" w:line="276"/>
      </w:pPr>
      <w:r>
        <w:rPr>
          <w:rFonts w:ascii="Times New Roman"/>
          <w:color w:val="000000"/>
          <w:sz w:val="24"/>
          <w:szCs w:val="24"/>
        </w:rPr>
        <w:t xml:space="preserve">The implementation plan follows four stages: Stage 1 (Weeks 1-2): Enhance preprocessing pipeline with Hough Circle plate detection and CLAHE contrast normalization; expand dataset with artifact annotations and train multi-class YOLOv8 model (colony, bubble, dust, crack); integrate plate detection into the web application. Stage 2 (Weeks 3-4): Implement CFU/mL calculation engine with dilution factor and plated volume inputs; add TFTC/IDEAL/TNTC classification per ISO 7218; develop Human-in-the-Loop verification workflow for low-confidence results. Stage 3 (Weeks 5-6): Build PDF report generation with ISO 17025 compliance metadata; implement PostgreSQL result storage with audit trail; add batch processing for multiple plates; conduct accuracy validation against manual expert counts. Stage 4 (Weeks 7-8): Production hardening with Docker containerization; load testing and performance optimization; LIMS integration API development; user acceptance testing with TÜV NORD laboratory staff; documentation and training material preparation.</w:t>
      </w:r>
    </w:p>
    <w:p>
      <w:pPr>
        <w:spacing w:after="80"/>
      </w:pPr>
      <w:r>
        <w:rPr>
          <w:rFonts w:ascii="Times New Roman"/>
          <w:i/>
          <w:iCs/>
          <w:color w:val="606060"/>
          <w:sz w:val="22"/>
          <w:szCs w:val="22"/>
        </w:rPr>
        <w:t xml:space="preserve">(145 words)</w:t>
      </w:r>
    </w:p>
    <w:p>
      <w:pPr>
        <w:spacing w:after="60"/>
      </w:pPr>
    </w:p>
    <w:p>
      <w:pPr>
        <w:spacing w:after="120" w:before="360"/>
      </w:pPr>
      <w:r>
        <w:rPr>
          <w:rFonts w:ascii="Times New Roman"/>
          <w:b/>
          <w:bCs/>
          <w:color w:val="1A5276"/>
          <w:sz w:val="28"/>
          <w:szCs w:val="28"/>
        </w:rPr>
        <w:t xml:space="preserve">Business Model and Sustainability</w:t>
      </w:r>
    </w:p>
    <w:p>
      <w:pPr>
        <w:spacing w:after="120" w:line="276"/>
      </w:pPr>
      <w:r>
        <w:rPr>
          <w:rFonts w:ascii="Times New Roman"/>
          <w:color w:val="000000"/>
          <w:sz w:val="24"/>
          <w:szCs w:val="24"/>
        </w:rPr>
        <w:t xml:space="preserve">PlateVision AI employs a SaaS (Software-as-a-Service) business model with three tiers: (1) Free Tier — up to 50 plates/month for individual laboratories and academic users, driving adoption and building a user base; (2) Professional Tier ($99/month) — unlimited plates, batch processing, PDF reports, and LIMS integration for commercial laboratories; (3) Enterprise Tier (custom pricing) — on-premise deployment, custom model training, dedicated support, and regulatory validation documentation for large organizations like TÜV NORD. Key Partnerships include TÜV NORD as the primary case provider and validation partner, Indonesian BPOM for regulatory alignment, and laboratory equipment suppliers for camera/illumination integration. Revenue streams include subscription fees, custom model training services, and regulatory compliance consulting. The cost structure is primarily cloud infrastructure (GPU inference) and R&amp;D for model improvement. Customer relationships are maintained through dedicated support, training workshops, and continuous model updates based on user feedback.</w:t>
      </w:r>
    </w:p>
    <w:p>
      <w:pPr>
        <w:spacing w:after="80"/>
      </w:pPr>
      <w:r>
        <w:rPr>
          <w:rFonts w:ascii="Times New Roman"/>
          <w:i/>
          <w:iCs/>
          <w:color w:val="606060"/>
          <w:sz w:val="22"/>
          <w:szCs w:val="22"/>
        </w:rPr>
        <w:t xml:space="preserve">(149 words)</w:t>
      </w:r>
    </w:p>
    <w:p>
      <w:pPr>
        <w:spacing w:after="60"/>
      </w:pPr>
    </w:p>
    <w:p>
      <w:pPr>
        <w:spacing w:after="120" w:before="360"/>
      </w:pPr>
      <w:r>
        <w:rPr>
          <w:rFonts w:ascii="Times New Roman"/>
          <w:b/>
          <w:bCs/>
          <w:color w:val="1A5276"/>
          <w:sz w:val="28"/>
          <w:szCs w:val="28"/>
        </w:rPr>
        <w:t xml:space="preserve">Attachment &amp; Reference</w:t>
      </w:r>
    </w:p>
    <w:p>
      <w:pPr>
        <w:spacing w:after="60"/>
      </w:pPr>
    </w:p>
    <w:p>
      <w:pPr>
        <w:spacing w:after="80" w:before="240"/>
      </w:pPr>
      <w:r>
        <w:rPr>
          <w:rFonts w:ascii="Times New Roman"/>
          <w:b/>
          <w:bCs/>
          <w:color w:val="1A5276"/>
          <w:sz w:val="24"/>
          <w:szCs w:val="24"/>
        </w:rPr>
        <w:t xml:space="preserve">Live Demo</w:t>
      </w:r>
    </w:p>
    <w:p>
      <w:pPr>
        <w:spacing w:after="120" w:line="276"/>
      </w:pPr>
      <w:r>
        <w:rPr>
          <w:rFonts w:ascii="Times New Roman"/>
          <w:color w:val="000000"/>
          <w:sz w:val="24"/>
          <w:szCs w:val="24"/>
        </w:rPr>
        <w:t xml:space="preserve">PlateVision AI PoC is accessible at: https://healthcare.jatnikonm.tech/</w:t>
      </w:r>
    </w:p>
    <w:p>
      <w:pPr>
        <w:spacing w:after="120" w:line="276"/>
      </w:pPr>
      <w:r>
        <w:rPr>
          <w:rFonts w:ascii="Times New Roman"/>
          <w:color w:val="000000"/>
          <w:sz w:val="24"/>
          <w:szCs w:val="24"/>
        </w:rPr>
        <w:t xml:space="preserve">The web application allows users to upload agar plate images, adjust detection parameters, and view real-time colony detection results with bounding box visualization, colony counts, and TFTC/IDEAL/TNTC classification. Sample images are available within the application for immediate testing.</w:t>
      </w:r>
    </w:p>
    <w:p>
      <w:pPr>
        <w:spacing w:after="60"/>
      </w:pPr>
    </w:p>
    <w:p>
      <w:pPr>
        <w:spacing w:after="80" w:before="240"/>
      </w:pPr>
      <w:r>
        <w:rPr>
          <w:rFonts w:ascii="Times New Roman"/>
          <w:b/>
          <w:bCs/>
          <w:color w:val="1A5276"/>
          <w:sz w:val="24"/>
          <w:szCs w:val="24"/>
        </w:rPr>
        <w:t xml:space="preserve">References</w:t>
      </w:r>
    </w:p>
    <w:p>
      <w:pPr>
        <w:spacing w:after="120" w:line="276"/>
      </w:pPr>
      <w:r>
        <w:rPr>
          <w:rFonts w:ascii="Times New Roman"/>
          <w:color w:val="000000"/>
          <w:sz w:val="24"/>
          <w:szCs w:val="24"/>
        </w:rPr>
        <w:t xml:space="preserve">[1] AGAR: A Microbial Colony Dataset for Deep Learning. Pawel et al., 2022. https://agar.neurosys.pl/</w:t>
      </w:r>
    </w:p>
    <w:p>
      <w:pPr>
        <w:spacing w:after="120" w:line="276"/>
      </w:pPr>
      <w:r>
        <w:rPr>
          <w:rFonts w:ascii="Times New Roman"/>
          <w:color w:val="000000"/>
          <w:sz w:val="24"/>
          <w:szCs w:val="24"/>
        </w:rPr>
        <w:t xml:space="preserve">[2] DIBaS: Digital Images of Bacterial Species. Misztal et al. https://misztal.edu.pl/software/databases/dibas/</w:t>
      </w:r>
    </w:p>
    <w:p>
      <w:pPr>
        <w:spacing w:after="120" w:line="276"/>
      </w:pPr>
      <w:r>
        <w:rPr>
          <w:rFonts w:ascii="Times New Roman"/>
          <w:color w:val="000000"/>
          <w:sz w:val="24"/>
          <w:szCs w:val="24"/>
        </w:rPr>
        <w:t xml:space="preserve">[3] Ultralytics YOLOv8 Documentation. https://docs.ultralytics.com/</w:t>
      </w:r>
    </w:p>
    <w:p>
      <w:pPr>
        <w:spacing w:after="120" w:line="276"/>
      </w:pPr>
      <w:r>
        <w:rPr>
          <w:rFonts w:ascii="Times New Roman"/>
          <w:color w:val="000000"/>
          <w:sz w:val="24"/>
          <w:szCs w:val="24"/>
        </w:rPr>
        <w:t xml:space="preserve">[4] ISO 7218:2007 Microbiology of food and animal feeding stuffs — General requirements and guidance for microbiological examinations.</w:t>
      </w:r>
    </w:p>
    <w:p>
      <w:pPr>
        <w:spacing w:after="120" w:line="276"/>
      </w:pPr>
      <w:r>
        <w:rPr>
          <w:rFonts w:ascii="Times New Roman"/>
          <w:color w:val="000000"/>
          <w:sz w:val="24"/>
          <w:szCs w:val="24"/>
        </w:rPr>
        <w:t xml:space="preserve">[5] ISO 17025:2017 General requirements for the competence of testing and calibration laboratories.</w:t>
      </w:r>
    </w:p>
    <w:p>
      <w:pPr>
        <w:spacing w:after="120" w:line="276"/>
      </w:pPr>
      <w:r>
        <w:rPr>
          <w:rFonts w:ascii="Times New Roman"/>
          <w:color w:val="000000"/>
          <w:sz w:val="24"/>
          <w:szCs w:val="24"/>
        </w:rPr>
        <w:t xml:space="preserve">[6] J. M. Beechinor et al., “Inter-analyst variability in colony counting,” Journal of Microbiological Methods, vol. 190, pp. 105-112, 2021.</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60606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olor w:val="000000"/>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2026-05-09T14:02:23.114Z</dcterms:created>
  <dcterms:modified xsi:type="dcterms:W3CDTF">2026-05-09T14:02:23.114Z</dcterms:modified>
</cp:coreProperties>
</file>

<file path=docProps/custom.xml><?xml version="1.0" encoding="utf-8"?>
<Properties xmlns="http://schemas.openxmlformats.org/officeDocument/2006/custom-properties" xmlns:vt="http://schemas.openxmlformats.org/officeDocument/2006/docPropsVTypes"/>
</file>