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F5F8FC" w:val="clear"/>
            <w:tcMar>
              <w:top w:type="dxa" w:w="0"/>
              <w:left w:type="dxa" w:w="0"/>
              <w:bottom w:type="dxa" w:w="0"/>
              <w:right w:type="dxa" w:w="0"/>
            </w:tcMar>
            <w:vAlign w:val="top"/>
          </w:tcPr>
          <w:p>
            <w:pPr>
              <w:spacing w:before="4500"/>
            </w:pPr>
          </w:p>
          <w:p>
            <w:pPr>
              <w:spacing w:after="200" w:line="900"/>
              <w:ind w:left="1200" w:right="1200"/>
              <w:jc w:val="left"/>
            </w:pPr>
            <w:r>
              <w:rPr>
                <w:rFonts w:ascii="Calibri" w:eastAsia="SimHei"/>
                <w:b/>
                <w:bCs/>
                <w:color w:val="1A5276"/>
                <w:sz w:val="80"/>
                <w:szCs w:val="80"/>
              </w:rPr>
              <w:t xml:space="preserve">PlateVisionAI</w:t>
            </w:r>
          </w:p>
          <w:p>
            <w:pPr>
              <w:spacing w:after="300" w:line="560"/>
              <w:ind w:left="1200" w:right="1200"/>
              <w:jc w:val="left"/>
            </w:pPr>
            <w:r>
              <w:rPr>
                <w:rFonts w:ascii="Calibri" w:eastAsia="SimHei"/>
                <w:color w:val="2E86C1"/>
                <w:sz w:val="40"/>
                <w:szCs w:val="40"/>
              </w:rPr>
              <w:t xml:space="preserve">Software Requirements Specification</w:t>
            </w:r>
          </w:p>
          <w:p>
            <w:pPr>
              <w:pBdr>
                <w:top w:val="single" w:color="2E86C1" w:sz="12" w:space="20"/>
              </w:pBdr>
              <w:spacing w:after="400"/>
              <w:ind w:left="1200" w:right="1200"/>
            </w:pPr>
          </w:p>
          <w:p>
            <w:pPr>
              <w:spacing w:after="100" w:line="312"/>
              <w:ind w:left="1200" w:right="1200"/>
              <w:jc w:val="left"/>
            </w:pPr>
            <w:r>
              <w:rPr>
                <w:rFonts w:ascii="Calibri" w:eastAsia="Microsoft YaHei"/>
                <w:color w:val="606060"/>
                <w:sz w:val="26"/>
                <w:szCs w:val="26"/>
              </w:rPr>
              <w:t xml:space="preserve">Persyaratan Fungsional dan Non-Fungsional</w:t>
            </w:r>
          </w:p>
          <w:p>
            <w:pPr>
              <w:spacing w:after="100" w:line="312"/>
              <w:ind w:left="1200" w:right="1200"/>
              <w:jc w:val="left"/>
            </w:pPr>
            <w:r>
              <w:rPr>
                <w:rFonts w:ascii="Calibri" w:eastAsia="Microsoft YaHei"/>
                <w:color w:val="606060"/>
                <w:sz w:val="26"/>
                <w:szCs w:val="26"/>
              </w:rPr>
              <w:t xml:space="preserve">untuk Menyamai/Mengungguli Interscience Scan</w:t>
            </w:r>
          </w:p>
          <w:p>
            <w:pPr>
              <w:spacing w:before="1800"/>
            </w:pPr>
          </w:p>
          <w:p>
            <w:pPr>
              <w:spacing w:after="60" w:line="276"/>
              <w:ind w:left="1200" w:right="1200"/>
              <w:jc w:val="left"/>
            </w:pPr>
            <w:r>
              <w:rPr>
                <w:rFonts w:ascii="Calibri" w:eastAsia="Microsoft YaHei"/>
                <w:color w:val="707070"/>
                <w:sz w:val="20"/>
                <w:szCs w:val="20"/>
              </w:rPr>
              <w:t xml:space="preserve">Versi: 1.0  |  Tanggal: 13 Mei 2026</w:t>
            </w:r>
          </w:p>
          <w:p>
            <w:pPr>
              <w:spacing w:after="60" w:line="276"/>
              <w:ind w:left="1200" w:right="1200"/>
              <w:jc w:val="left"/>
            </w:pPr>
            <w:r>
              <w:rPr>
                <w:rFonts w:ascii="Calibri" w:eastAsia="Microsoft YaHei"/>
                <w:color w:val="707070"/>
                <w:sz w:val="20"/>
                <w:szCs w:val="20"/>
              </w:rPr>
              <w:t xml:space="preserve">Model: YOLOv8m V4 Production (mAP50: 0.9145)</w:t>
            </w:r>
          </w:p>
          <w:p>
            <w:pPr>
              <w:spacing w:after="60" w:line="276"/>
              <w:ind w:left="1200" w:right="1200"/>
              <w:jc w:val="left"/>
            </w:pPr>
            <w:r>
              <w:rPr>
                <w:rFonts w:ascii="Calibri" w:eastAsia="Microsoft YaHei"/>
                <w:color w:val="A0A0A0"/>
                <w:sz w:val="20"/>
                <w:szCs w:val="20"/>
              </w:rPr>
              <w:t xml:space="preserve">Dokumen Rahasia — Hanya untuk Penggunaan Internal</w:t>
            </w:r>
          </w:p>
        </w:tc>
      </w:tr>
    </w:tbl>
    <w:p>
      <w:pPr>
        <w:sectPr>
          <w:pgSz w:w="11906" w:h="16838" w:orient="portrait"/>
          <w:pgMar w:top="0" w:right="0" w:bottom="0" w:left="0" w:header="708" w:footer="708" w:gutter="0"/>
          <w:pgNumType/>
          <w:docGrid w:linePitch="360"/>
        </w:sectPr>
      </w:pPr>
    </w:p>
    <w:p>
      <w:pPr>
        <w:pStyle w:val="Heading1"/>
        <w:spacing w:after="200" w:before="200" w:line="312"/>
      </w:pPr>
      <w:bookmarkStart w:id="100000" w:name="_Toc100000"/>
      <w:r>
        <w:rPr>
          <w:rFonts w:ascii="Calibri" w:eastAsia="SimHei"/>
          <w:b/>
          <w:bCs/>
          <w:color w:val="1A5276"/>
          <w:sz w:val="32"/>
          <w:szCs w:val="32"/>
        </w:rPr>
        <w:t xml:space="preserve">Daftar Isi</w:t>
      </w:r>
      <w:bookmarkEnd w:id="100000"/>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Daftar Isi</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Pendahuluan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Latar Belakang</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Ruang Lingkup</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Status PlateVisionAI Saat Ini</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Persyaratan Fungsional</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FR-01: Deteksi dan Klasifikasi Koloni</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3.1.1 FR-01.1: Deteksi Multi-ukuran Koloni</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3.1.2 FR-01.2: Klasifikasi Morfologi Koloni</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3.1.3 FR-01.3: Diferensiasi Koloni dari Artefak</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3.2 FR-02: Penghitungan Koloni Otomatis</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3.2.1 FR-02.1: Penghitungan Koloni Total</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3.2.2 FR-02.3: Penghitungan Selektif dan Filtering</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3.2.3 FR-02.4: Koreksi Manual Terbimbing</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3.3 FR-03: Deteksi dan Penandaan Kontaminan</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3.3.1 FR-03.1: Deteksi Gelembung Udara (Bubble)</w:t>
            </w:r>
            <w:r>
              <w:tab/>
            </w:r>
            <w:r>
              <w:fldChar w:fldCharType="begin"/>
            </w:r>
            <w:r>
              <w:instrText xml:space="preserve"> PAGEREF _Toc100016 \h </w:instrText>
            </w:r>
            <w:r>
              <w:fldChar w:fldCharType="separate"/>
            </w:r>
            <w:r>
              <w:t>5</w:t>
            </w:r>
            <w:r>
              <w:fldChar w:fldCharType="end"/>
            </w:r>
          </w:hyperlink>
        </w:p>
        <w:p>
          <w:pPr>
            <w:pStyle w:val="12"/>
            <w:ind w:left="720"/>
            <w:tabs>
              <w:tab w:val="right" w:leader="dot" w:pos="9026"/>
            </w:tabs>
            <w:spacing w:before="120" w:after="60"/>
          </w:pPr>
          <w:hyperlink w:anchor="_Toc100017" w:history="1">
            <w:r>
              <w:rPr>
                <w:rStyle w:val="Hyperlink"/>
              </w:rPr>
              <w:t>3.3.2 FR-03.2: Deteksi Partikel Debu (Dust)</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3.3.3 FR-03.3: Deteksi Retakan Media (Crack)</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3.4 FR-04: Akuisisi dan Pemrosesan Citra</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3.4.1 FR-04.1: Dukungan Multi-sumber Citra</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3.4.2 FR-04.2: Pra-pemrosesan Otomatis</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3.4.3 FR-04.3: Kontrol Kualitas Citra Input</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3.5 FR-05: Analisis dan Pelaporan</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3.5.1 FR-05.1: Laporan Analisis PDF</w:t>
            </w:r>
            <w:r>
              <w:tab/>
            </w:r>
            <w:r>
              <w:fldChar w:fldCharType="begin"/>
            </w:r>
            <w:r>
              <w:instrText xml:space="preserve"> PAGEREF _Toc100024 \h </w:instrText>
            </w:r>
            <w:r>
              <w:fldChar w:fldCharType="separate"/>
            </w:r>
            <w:r>
              <w:t>7</w:t>
            </w:r>
            <w:r>
              <w:fldChar w:fldCharType="end"/>
            </w:r>
          </w:hyperlink>
        </w:p>
        <w:p>
          <w:pPr>
            <w:pStyle w:val="12"/>
            <w:ind w:left="720"/>
            <w:tabs>
              <w:tab w:val="right" w:leader="dot" w:pos="9026"/>
            </w:tabs>
            <w:spacing w:before="120" w:after="60"/>
          </w:pPr>
          <w:hyperlink w:anchor="_Toc100025" w:history="1">
            <w:r>
              <w:rPr>
                <w:rStyle w:val="Hyperlink"/>
              </w:rPr>
              <w:t>3.5.2 FR-05.2: Ekspor Data Tabular</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3.5.3 FR-05.3: Dashboard Analitik Real-time</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3.6 FR-06: Manajemen Data dan Audit Trail</w:t>
            </w:r>
            <w:r>
              <w:tab/>
            </w:r>
            <w:r>
              <w:fldChar w:fldCharType="begin"/>
            </w:r>
            <w:r>
              <w:instrText xml:space="preserve"> PAGEREF _Toc100027 \h </w:instrText>
            </w:r>
            <w:r>
              <w:fldChar w:fldCharType="separate"/>
            </w:r>
            <w:r>
              <w:t>8</w:t>
            </w:r>
            <w:r>
              <w:fldChar w:fldCharType="end"/>
            </w:r>
          </w:hyperlink>
        </w:p>
        <w:p>
          <w:pPr>
            <w:pStyle w:val="12"/>
            <w:ind w:left="720"/>
            <w:tabs>
              <w:tab w:val="right" w:leader="dot" w:pos="9026"/>
            </w:tabs>
            <w:spacing w:before="120" w:after="60"/>
          </w:pPr>
          <w:hyperlink w:anchor="_Toc100028" w:history="1">
            <w:r>
              <w:rPr>
                <w:rStyle w:val="Hyperlink"/>
              </w:rPr>
              <w:t>3.6.1 FR-06.1: Audit Trail yang Tidak Dapat Diubah</w:t>
            </w:r>
            <w:r>
              <w:tab/>
            </w:r>
            <w:r>
              <w:fldChar w:fldCharType="begin"/>
            </w:r>
            <w:r>
              <w:instrText xml:space="preserve"> PAGEREF _Toc100028 \h </w:instrText>
            </w:r>
            <w:r>
              <w:fldChar w:fldCharType="separate"/>
            </w:r>
            <w:r>
              <w:t>8</w:t>
            </w:r>
            <w:r>
              <w:fldChar w:fldCharType="end"/>
            </w:r>
          </w:hyperlink>
        </w:p>
        <w:p>
          <w:pPr>
            <w:pStyle w:val="12"/>
            <w:ind w:left="720"/>
            <w:tabs>
              <w:tab w:val="right" w:leader="dot" w:pos="9026"/>
            </w:tabs>
            <w:spacing w:before="120" w:after="60"/>
          </w:pPr>
          <w:hyperlink w:anchor="_Toc100029" w:history="1">
            <w:r>
              <w:rPr>
                <w:rStyle w:val="Hyperlink"/>
              </w:rPr>
              <w:t>3.6.2 FR-06.2: Penyimpanan dan Retensi Data</w:t>
            </w:r>
            <w:r>
              <w:tab/>
            </w:r>
            <w:r>
              <w:fldChar w:fldCharType="begin"/>
            </w:r>
            <w:r>
              <w:instrText xml:space="preserve"> PAGEREF _Toc100029 \h </w:instrText>
            </w:r>
            <w:r>
              <w:fldChar w:fldCharType="separate"/>
            </w:r>
            <w:r>
              <w:t>9</w:t>
            </w:r>
            <w:r>
              <w:fldChar w:fldCharType="end"/>
            </w:r>
          </w:hyperlink>
        </w:p>
        <w:p>
          <w:pPr>
            <w:pStyle w:val="12"/>
            <w:ind w:left="720"/>
            <w:tabs>
              <w:tab w:val="right" w:leader="dot" w:pos="9026"/>
            </w:tabs>
            <w:spacing w:before="120" w:after="60"/>
          </w:pPr>
          <w:hyperlink w:anchor="_Toc100030" w:history="1">
            <w:r>
              <w:rPr>
                <w:rStyle w:val="Hyperlink"/>
              </w:rPr>
              <w:t>3.6.3 FR-06.3: Backup dan Disaster Recovery</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3.7 FR-07: Integrasi Sistem dan Interoperabilitas</w:t>
            </w:r>
            <w:r>
              <w:tab/>
            </w:r>
            <w:r>
              <w:fldChar w:fldCharType="begin"/>
            </w:r>
            <w:r>
              <w:instrText xml:space="preserve"> PAGEREF _Toc100031 \h </w:instrText>
            </w:r>
            <w:r>
              <w:fldChar w:fldCharType="separate"/>
            </w:r>
            <w:r>
              <w:t>9</w:t>
            </w:r>
            <w:r>
              <w:fldChar w:fldCharType="end"/>
            </w:r>
          </w:hyperlink>
        </w:p>
        <w:p>
          <w:pPr>
            <w:pStyle w:val="12"/>
            <w:ind w:left="720"/>
            <w:tabs>
              <w:tab w:val="right" w:leader="dot" w:pos="9026"/>
            </w:tabs>
            <w:spacing w:before="120" w:after="60"/>
          </w:pPr>
          <w:hyperlink w:anchor="_Toc100032" w:history="1">
            <w:r>
              <w:rPr>
                <w:rStyle w:val="Hyperlink"/>
              </w:rPr>
              <w:t>3.7.1 FR-07.1: REST API untuk Integrasi LIMS</w:t>
            </w:r>
            <w:r>
              <w:tab/>
            </w:r>
            <w:r>
              <w:fldChar w:fldCharType="begin"/>
            </w:r>
            <w:r>
              <w:instrText xml:space="preserve"> PAGEREF _Toc100032 \h </w:instrText>
            </w:r>
            <w:r>
              <w:fldChar w:fldCharType="separate"/>
            </w:r>
            <w:r>
              <w:t>9</w:t>
            </w:r>
            <w:r>
              <w:fldChar w:fldCharType="end"/>
            </w:r>
          </w:hyperlink>
        </w:p>
        <w:p>
          <w:pPr>
            <w:pStyle w:val="12"/>
            <w:ind w:left="720"/>
            <w:tabs>
              <w:tab w:val="right" w:leader="dot" w:pos="9026"/>
            </w:tabs>
            <w:spacing w:before="120" w:after="60"/>
          </w:pPr>
          <w:hyperlink w:anchor="_Toc100033" w:history="1">
            <w:r>
              <w:rPr>
                <w:rStyle w:val="Hyperlink"/>
              </w:rPr>
              <w:t>3.7.2 FR-07.2: Integrasi Hardware</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3.7.3 FR-07.3: Webhook dan Event Notification</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3.8 FR-08: Antarmuka Pengguna</w:t>
            </w:r>
            <w:r>
              <w:tab/>
            </w:r>
            <w:r>
              <w:fldChar w:fldCharType="begin"/>
            </w:r>
            <w:r>
              <w:instrText xml:space="preserve"> PAGEREF _Toc100035 \h </w:instrText>
            </w:r>
            <w:r>
              <w:fldChar w:fldCharType="separate"/>
            </w:r>
            <w:r>
              <w:t>10</w:t>
            </w:r>
            <w:r>
              <w:fldChar w:fldCharType="end"/>
            </w:r>
          </w:hyperlink>
        </w:p>
        <w:p>
          <w:pPr>
            <w:pStyle w:val="12"/>
            <w:ind w:left="720"/>
            <w:tabs>
              <w:tab w:val="right" w:leader="dot" w:pos="9026"/>
            </w:tabs>
            <w:spacing w:before="120" w:after="60"/>
          </w:pPr>
          <w:hyperlink w:anchor="_Toc100036" w:history="1">
            <w:r>
              <w:rPr>
                <w:rStyle w:val="Hyperlink"/>
              </w:rPr>
              <w:t>3.8.1 FR-08.1: Antarmuka Web Responsif</w:t>
            </w:r>
            <w:r>
              <w:tab/>
            </w:r>
            <w:r>
              <w:fldChar w:fldCharType="begin"/>
            </w:r>
            <w:r>
              <w:instrText xml:space="preserve"> PAGEREF _Toc100036 \h </w:instrText>
            </w:r>
            <w:r>
              <w:fldChar w:fldCharType="separate"/>
            </w:r>
            <w:r>
              <w:t>10</w:t>
            </w:r>
            <w:r>
              <w:fldChar w:fldCharType="end"/>
            </w:r>
          </w:hyperlink>
        </w:p>
        <w:p>
          <w:pPr>
            <w:pStyle w:val="12"/>
            <w:ind w:left="720"/>
            <w:tabs>
              <w:tab w:val="right" w:leader="dot" w:pos="9026"/>
            </w:tabs>
            <w:spacing w:before="120" w:after="60"/>
          </w:pPr>
          <w:hyperlink w:anchor="_Toc100037" w:history="1">
            <w:r>
              <w:rPr>
                <w:rStyle w:val="Hyperlink"/>
              </w:rPr>
              <w:t>3.8.2 FR-08.3: Manajemen Sampel dan Batch</w:t>
            </w:r>
            <w:r>
              <w:tab/>
            </w:r>
            <w:r>
              <w:fldChar w:fldCharType="begin"/>
            </w:r>
            <w:r>
              <w:instrText xml:space="preserve"> PAGEREF _Toc100037 \h </w:instrText>
            </w:r>
            <w:r>
              <w:fldChar w:fldCharType="separate"/>
            </w:r>
            <w:r>
              <w:t>11</w:t>
            </w:r>
            <w:r>
              <w:fldChar w:fldCharType="end"/>
            </w:r>
          </w:hyperlink>
        </w:p>
        <w:p>
          <w:pPr>
            <w:pStyle w:val="12"/>
            <w:ind w:left="720"/>
            <w:tabs>
              <w:tab w:val="right" w:leader="dot" w:pos="9026"/>
            </w:tabs>
            <w:spacing w:before="120" w:after="60"/>
          </w:pPr>
          <w:hyperlink w:anchor="_Toc100038" w:history="1">
            <w:r>
              <w:rPr>
                <w:rStyle w:val="Hyperlink"/>
              </w:rPr>
              <w:t>3.8.3 FR-08.4: Visualisasi Hasil Interaktif</w:t>
            </w:r>
            <w:r>
              <w:tab/>
            </w:r>
            <w:r>
              <w:fldChar w:fldCharType="begin"/>
            </w:r>
            <w:r>
              <w:instrText xml:space="preserve"> PAGEREF _Toc100038 \h </w:instrText>
            </w:r>
            <w:r>
              <w:fldChar w:fldCharType="separate"/>
            </w:r>
            <w:r>
              <w:t>11</w:t>
            </w:r>
            <w:r>
              <w:fldChar w:fldCharType="end"/>
            </w:r>
          </w:hyperlink>
        </w:p>
        <w:p>
          <w:pPr>
            <w:pStyle w:val="9"/>
            <w:tabs>
              <w:tab w:val="right" w:leader="dot" w:pos="9026"/>
            </w:tabs>
            <w:spacing w:before="120" w:after="60"/>
          </w:pPr>
          <w:hyperlink w:anchor="_Toc100039" w:history="1">
            <w:r>
              <w:rPr>
                <w:rStyle w:val="Hyperlink"/>
              </w:rPr>
              <w:t>4. Persyaratan Non-Fungsional</w:t>
            </w:r>
            <w:r>
              <w:tab/>
            </w:r>
            <w:r>
              <w:fldChar w:fldCharType="begin"/>
            </w:r>
            <w:r>
              <w:instrText xml:space="preserve"> PAGEREF _Toc100039 \h </w:instrText>
            </w:r>
            <w:r>
              <w:fldChar w:fldCharType="separate"/>
            </w:r>
            <w:r>
              <w:t>11</w:t>
            </w:r>
            <w:r>
              <w:fldChar w:fldCharType="end"/>
            </w:r>
          </w:hyperlink>
        </w:p>
        <w:p>
          <w:pPr>
            <w:pStyle w:val="11"/>
            <w:ind w:left="360"/>
            <w:tabs>
              <w:tab w:val="right" w:leader="dot" w:pos="9026"/>
            </w:tabs>
            <w:spacing w:before="120" w:after="60"/>
          </w:pPr>
          <w:hyperlink w:anchor="_Toc100040" w:history="1">
            <w:r>
              <w:rPr>
                <w:rStyle w:val="Hyperlink"/>
              </w:rPr>
              <w:t>4.1 NFR-01: Performa dan Kecepatan</w:t>
            </w:r>
            <w:r>
              <w:tab/>
            </w:r>
            <w:r>
              <w:fldChar w:fldCharType="begin"/>
            </w:r>
            <w:r>
              <w:instrText xml:space="preserve"> PAGEREF _Toc100040 \h </w:instrText>
            </w:r>
            <w:r>
              <w:fldChar w:fldCharType="separate"/>
            </w:r>
            <w:r>
              <w:t>11</w:t>
            </w:r>
            <w:r>
              <w:fldChar w:fldCharType="end"/>
            </w:r>
          </w:hyperlink>
        </w:p>
        <w:p>
          <w:pPr>
            <w:pStyle w:val="11"/>
            <w:ind w:left="360"/>
            <w:tabs>
              <w:tab w:val="right" w:leader="dot" w:pos="9026"/>
            </w:tabs>
            <w:spacing w:before="120" w:after="60"/>
          </w:pPr>
          <w:hyperlink w:anchor="_Toc100041" w:history="1">
            <w:r>
              <w:rPr>
                <w:rStyle w:val="Hyperlink"/>
              </w:rPr>
              <w:t>4.2 NFR-02: Akurasi dan Reliabilitas</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4.3 NFR-03: Skalabilitas</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4.4 NFR-04: Keamanan Informasi</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4.5 NFR-05: Kepatuhan Regulasi</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4.6 NFR-06: Ketersediaan dan Ketahanan</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4.7 NFR-07: Kemudahan Penggunaan (Usability)</w:t>
            </w:r>
            <w:r>
              <w:tab/>
            </w:r>
            <w:r>
              <w:fldChar w:fldCharType="begin"/>
            </w:r>
            <w:r>
              <w:instrText xml:space="preserve"> PAGEREF _Toc100046 \h </w:instrText>
            </w:r>
            <w:r>
              <w:fldChar w:fldCharType="separate"/>
            </w:r>
            <w:r>
              <w:t>14</w:t>
            </w:r>
            <w:r>
              <w:fldChar w:fldCharType="end"/>
            </w:r>
          </w:hyperlink>
        </w:p>
        <w:p>
          <w:pPr>
            <w:pStyle w:val="11"/>
            <w:ind w:left="360"/>
            <w:tabs>
              <w:tab w:val="right" w:leader="dot" w:pos="9026"/>
            </w:tabs>
            <w:spacing w:before="120" w:after="60"/>
          </w:pPr>
          <w:hyperlink w:anchor="_Toc100047" w:history="1">
            <w:r>
              <w:rPr>
                <w:rStyle w:val="Hyperlink"/>
              </w:rPr>
              <w:t>4.8 NFR-08: Pemeliharaan dan Ekstensibilitas</w:t>
            </w:r>
            <w:r>
              <w:tab/>
            </w:r>
            <w:r>
              <w:fldChar w:fldCharType="begin"/>
            </w:r>
            <w:r>
              <w:instrText xml:space="preserve"> PAGEREF _Toc100047 \h </w:instrText>
            </w:r>
            <w:r>
              <w:fldChar w:fldCharType="separate"/>
            </w:r>
            <w:r>
              <w:t>14</w:t>
            </w:r>
            <w:r>
              <w:fldChar w:fldCharType="end"/>
            </w:r>
          </w:hyperlink>
        </w:p>
        <w:p>
          <w:pPr>
            <w:pStyle w:val="9"/>
            <w:tabs>
              <w:tab w:val="right" w:leader="dot" w:pos="9026"/>
            </w:tabs>
            <w:spacing w:before="120" w:after="60"/>
          </w:pPr>
          <w:hyperlink w:anchor="_Toc100048" w:history="1">
            <w:r>
              <w:rPr>
                <w:rStyle w:val="Hyperlink"/>
              </w:rPr>
              <w:t>5. Analisis Gap: PlateVisionAI vs Interscience</w:t>
            </w:r>
            <w:r>
              <w:tab/>
            </w:r>
            <w:r>
              <w:fldChar w:fldCharType="begin"/>
            </w:r>
            <w:r>
              <w:instrText xml:space="preserve"> PAGEREF _Toc100048 \h </w:instrText>
            </w:r>
            <w:r>
              <w:fldChar w:fldCharType="separate"/>
            </w:r>
            <w:r>
              <w:t>15</w:t>
            </w:r>
            <w:r>
              <w:fldChar w:fldCharType="end"/>
            </w:r>
          </w:hyperlink>
        </w:p>
        <w:p>
          <w:pPr>
            <w:pStyle w:val="9"/>
            <w:tabs>
              <w:tab w:val="right" w:leader="dot" w:pos="9026"/>
            </w:tabs>
            <w:spacing w:before="120" w:after="60"/>
          </w:pPr>
          <w:hyperlink w:anchor="_Toc100049" w:history="1">
            <w:r>
              <w:rPr>
                <w:rStyle w:val="Hyperlink"/>
              </w:rPr>
              <w:t>6. Roadmap Implementasi</w:t>
            </w:r>
            <w:r>
              <w:tab/>
            </w:r>
            <w:r>
              <w:fldChar w:fldCharType="begin"/>
            </w:r>
            <w:r>
              <w:instrText xml:space="preserve"> PAGEREF _Toc100049 \h </w:instrText>
            </w:r>
            <w:r>
              <w:fldChar w:fldCharType="separate"/>
            </w:r>
            <w:r>
              <w:t>15</w:t>
            </w:r>
            <w:r>
              <w:fldChar w:fldCharType="end"/>
            </w:r>
          </w:hyperlink>
        </w:p>
        <w:p>
          <w:pPr>
            <w:pStyle w:val="11"/>
            <w:ind w:left="360"/>
            <w:tabs>
              <w:tab w:val="right" w:leader="dot" w:pos="9026"/>
            </w:tabs>
            <w:spacing w:before="120" w:after="60"/>
          </w:pPr>
          <w:hyperlink w:anchor="_Toc100050" w:history="1">
            <w:r>
              <w:rPr>
                <w:rStyle w:val="Hyperlink"/>
              </w:rPr>
              <w:t>6.1 Fase 1: Core Engine (Bulan 1-3)</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6.2 Fase 2: Production Platform (Bulan 4-6)</w:t>
            </w:r>
            <w:r>
              <w:tab/>
            </w:r>
            <w:r>
              <w:fldChar w:fldCharType="begin"/>
            </w:r>
            <w:r>
              <w:instrText xml:space="preserve"> PAGEREF _Toc100051 \h </w:instrText>
            </w:r>
            <w:r>
              <w:fldChar w:fldCharType="separate"/>
            </w:r>
            <w:r>
              <w:t>16</w:t>
            </w:r>
            <w:r>
              <w:fldChar w:fldCharType="end"/>
            </w:r>
          </w:hyperlink>
        </w:p>
        <w:p>
          <w:pPr>
            <w:pStyle w:val="11"/>
            <w:ind w:left="360"/>
            <w:tabs>
              <w:tab w:val="right" w:leader="dot" w:pos="9026"/>
            </w:tabs>
            <w:spacing w:before="120" w:after="60"/>
          </w:pPr>
          <w:hyperlink w:anchor="_Toc100052" w:history="1">
            <w:r>
              <w:rPr>
                <w:rStyle w:val="Hyperlink"/>
              </w:rPr>
              <w:t>6.3 Fase 3: Enterprise Features (Bulan 7-9)</w:t>
            </w:r>
            <w:r>
              <w:tab/>
            </w:r>
            <w:r>
              <w:fldChar w:fldCharType="begin"/>
            </w:r>
            <w:r>
              <w:instrText xml:space="preserve"> PAGEREF _Toc100052 \h </w:instrText>
            </w:r>
            <w:r>
              <w:fldChar w:fldCharType="separate"/>
            </w:r>
            <w:r>
              <w:t>17</w:t>
            </w:r>
            <w:r>
              <w:fldChar w:fldCharType="end"/>
            </w:r>
          </w:hyperlink>
        </w:p>
        <w:p>
          <w:pPr>
            <w:pStyle w:val="11"/>
            <w:ind w:left="360"/>
            <w:tabs>
              <w:tab w:val="right" w:leader="dot" w:pos="9026"/>
            </w:tabs>
            <w:spacing w:before="120" w:after="60"/>
          </w:pPr>
          <w:hyperlink w:anchor="_Toc100053" w:history="1">
            <w:r>
              <w:rPr>
                <w:rStyle w:val="Hyperlink"/>
              </w:rPr>
              <w:t>6.4 Fase 4: Compliance &amp; Excellence (Bulan 10-12)</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6.5 Ringkasan Roadmap</w:t>
            </w:r>
            <w:r>
              <w:tab/>
            </w:r>
            <w:r>
              <w:fldChar w:fldCharType="begin"/>
            </w:r>
            <w:r>
              <w:instrText xml:space="preserve"> PAGEREF _Toc100054 \h </w:instrText>
            </w:r>
            <w:r>
              <w:fldChar w:fldCharType="separate"/>
            </w:r>
            <w:r>
              <w:t>20</w:t>
            </w:r>
            <w:r>
              <w:fldChar w:fldCharType="end"/>
            </w:r>
          </w:hyperlink>
        </w:p>
        <w:p>
          <w:r>
            <w:fldChar w:fldCharType="end"/>
          </w:r>
        </w:p>
      </w:sdtContent>
    </w:sdt>
    <w:p>
      <w:pPr>
        <w:spacing w:after="100" w:before="200"/>
        <w:jc w:val="center"/>
      </w:pPr>
      <w:r>
        <w:rPr>
          <w:rFonts w:ascii="Calibri" w:eastAsia="Microsoft YaHei"/>
          <w:i/>
          <w:iCs/>
          <w:color w:val="888888"/>
          <w:sz w:val="18"/>
          <w:szCs w:val="18"/>
        </w:rPr>
        <w:t xml:space="preserve">[Klik kanan pada Daftar Isi → “Update Field” untuk memperbarui nomor halaman]</w:t>
      </w:r>
    </w:p>
    <w:p>
      <w:r>
        <w:br w:type="page"/>
      </w:r>
    </w:p>
    <w:p>
      <w:pPr>
        <w:sectPr>
          <w:headerReference w:type="default" r:id="rId7"/>
          <w:footerReference w:type="default" r:id="rId8"/>
          <w:pgSz w:w="11906" w:h="16838" w:orient="portrait"/>
          <w:pgMar w:top="1417" w:right="1417" w:bottom="1417" w:left="1701" w:header="708" w:footer="708" w:gutter="0"/>
          <w:pgNumType/>
          <w:docGrid w:linePitch="360"/>
        </w:sectPr>
      </w:pPr>
    </w:p>
    <w:p>
      <w:pPr>
        <w:pStyle w:val="Heading1"/>
        <w:spacing w:after="160" w:before="360" w:line="312"/>
      </w:pPr>
      <w:bookmarkStart w:id="100001" w:name="_Toc100001"/>
      <w:r>
        <w:rPr>
          <w:rFonts w:ascii="Calibri" w:eastAsia="SimHei"/>
          <w:b/>
          <w:bCs/>
          <w:color w:val="1A5276"/>
          <w:sz w:val="32"/>
          <w:szCs w:val="32"/>
        </w:rPr>
        <w:t xml:space="preserve">1. Executive Summary</w:t>
      </w:r>
      <w:bookmarkEnd w:id="100001"/>
    </w:p>
    <w:p>
      <w:pPr>
        <w:spacing w:after="120" w:line="312"/>
        <w:ind w:firstLine="420"/>
        <w:jc w:val="both"/>
      </w:pPr>
      <w:r>
        <w:rPr>
          <w:rFonts w:ascii="Calibri" w:eastAsia="Microsoft YaHei"/>
          <w:color w:val="1E2E40"/>
          <w:sz w:val="24"/>
          <w:szCs w:val="24"/>
        </w:rPr>
        <w:t xml:space="preserve">Dokumen ini menyajikan spesifikasi persyaratan perangkat lunak (Software Requirements Specification) yang komprehensif untuk PlateVisionAI, sebuah sistem deteksi dan klasifikasi koloni bakteri berbasis kecerdasan buatan yang dirancang untuk menggantikan atau menyamai kualitas produk komersial Interscience Scan. Platform Interscience merupakan standar industri yang telah diakui dalam penghitungan koloni otomatis di laboratorium mikrobiologi, dan dokumen ini bertujuan untuk memetakan seluruh kapabilitas fungsional serta atribut kualitas non-fungsional yang harus dipenuhi agar PlateVisionAI dapat berkompetisi secara setara atau lebih unggul di pasar yang sama.</w:t>
      </w:r>
    </w:p>
    <w:p>
      <w:pPr>
        <w:spacing w:after="120" w:line="312"/>
        <w:ind w:firstLine="420"/>
        <w:jc w:val="both"/>
      </w:pPr>
      <w:r>
        <w:rPr>
          <w:rFonts w:ascii="Calibri" w:eastAsia="Microsoft YaHei"/>
          <w:color w:val="1E2E40"/>
          <w:sz w:val="24"/>
          <w:szCs w:val="24"/>
        </w:rPr>
        <w:t xml:space="preserve">PlateVisionAI saat ini berjalan di atas model YOLOv8m versi V4 Production dengan mAP50 sebesar 0.9145 dan mAP50-95 sebesar 0.6984, mampu mendeteksi empat kelas objek yaitu colony, bubble, dust, dan crack. Meskipun performa keseluruhan sudah sangat baik, terdapat gap signifikan pada kelas minor (crack mAP50: 0.499, dust mAP50-95: 0.241) yang perlu ditutup agar sistem dapat diandalkan untuk penggunaan klinis otonom. Selain aspek model, dokumen ini juga menguraikan persyaratan pada layer aplikasi yang mencakup akuisisi citra, antarmuka pengguna, manajemen data, pelaporan, keamanan, serta kepatuhan regulasi.</w:t>
      </w:r>
    </w:p>
    <w:p>
      <w:pPr>
        <w:spacing w:after="120" w:line="312"/>
        <w:ind w:firstLine="420"/>
        <w:jc w:val="both"/>
      </w:pPr>
      <w:r>
        <w:rPr>
          <w:rFonts w:ascii="Calibri" w:eastAsia="Microsoft YaHei"/>
          <w:color w:val="1E2E40"/>
          <w:sz w:val="24"/>
          <w:szCs w:val="24"/>
        </w:rPr>
        <w:t xml:space="preserve">Struktur dokumen terdiri dari: (1) persyaratan fungsional yang mendefinisikan apa yang harus dilakukan sistem, (2) persyaratan non-fungsional yang menetapkan standar kualitas dan batasan operasional, (3) analisis gap antara PlateVisionAI saat ini versus Interscience, dan (4) roadmap implementasi bertahap untuk mencapai paritas atau keunggulan kompetitif. Setiap persyaratan diberi identifikasi unik dan prioritas untuk memudahkan pelacakan dan manajemen backlog.</w:t>
      </w:r>
    </w:p>
    <w:p>
      <w:pPr>
        <w:pStyle w:val="Heading1"/>
        <w:spacing w:after="160" w:before="360" w:line="312"/>
      </w:pPr>
      <w:bookmarkStart w:id="100002" w:name="_Toc100002"/>
      <w:r>
        <w:rPr>
          <w:rFonts w:ascii="Calibri" w:eastAsia="SimHei"/>
          <w:b/>
          <w:bCs/>
          <w:color w:val="1A5276"/>
          <w:sz w:val="32"/>
          <w:szCs w:val="32"/>
        </w:rPr>
        <w:t xml:space="preserve">2. Pendahuluan</w:t>
      </w:r>
      <w:bookmarkEnd w:id="100002"/>
    </w:p>
    <w:p>
      <w:pPr>
        <w:pStyle w:val="Heading2"/>
        <w:spacing w:after="120" w:before="280" w:line="312"/>
      </w:pPr>
      <w:bookmarkStart w:id="100003" w:name="_Toc100003"/>
      <w:r>
        <w:rPr>
          <w:rFonts w:ascii="Calibri" w:eastAsia="SimHei"/>
          <w:b/>
          <w:bCs/>
          <w:color w:val="1A5276"/>
          <w:sz w:val="28"/>
          <w:szCs w:val="28"/>
        </w:rPr>
        <w:t xml:space="preserve">2.1 Latar Belakang</w:t>
      </w:r>
      <w:bookmarkEnd w:id="100003"/>
    </w:p>
    <w:p>
      <w:pPr>
        <w:spacing w:after="120" w:line="312"/>
        <w:ind w:firstLine="420"/>
        <w:jc w:val="both"/>
      </w:pPr>
      <w:r>
        <w:rPr>
          <w:rFonts w:ascii="Calibri" w:eastAsia="Microsoft YaHei"/>
          <w:color w:val="1E2E40"/>
          <w:sz w:val="24"/>
          <w:szCs w:val="24"/>
        </w:rPr>
        <w:t xml:space="preserve">Penghitungan koloni bakteri pada media agar merupakan prosedur rutin di laboratorium mikrobiologi klinis, industri farmasi, pengujian kualitas air dan makanan, serta penelitian biomedis. Proses manual yang masih lazim dilakukan memakan waktu, subjektif, dan rentan terhadap kesalahan manusia. Otomatisasi penghitungan koloni menggunakan teknologi computer vision dan kecerdasan buatan telah menjadi kebutuhan strategis untuk meningkatkan throughput, konsistensi, dan traceability hasil analisis.</w:t>
      </w:r>
    </w:p>
    <w:p>
      <w:pPr>
        <w:spacing w:after="120" w:line="312"/>
        <w:ind w:firstLine="420"/>
        <w:jc w:val="both"/>
      </w:pPr>
      <w:r>
        <w:rPr>
          <w:rFonts w:ascii="Calibri" w:eastAsia="Microsoft YaHei"/>
          <w:color w:val="1E2E40"/>
          <w:sz w:val="24"/>
          <w:szCs w:val="24"/>
        </w:rPr>
        <w:t xml:space="preserve">Interscience adalah perusahaan Prancis yang telah memproduksi serangkaian alat penghitung koloni otomatis (scan 100, scan 500, scan 1200, scan 3000) yang digunakan secara luas di laboratorium di seluruh dunia. Produk-produk Interscience dikenal karena kemampuannya menghitung koloni dengan akurasi tinggi, mendukung berbagai jenis media agar, menyediakan antarmuka pengguna yang intuitif, serta memenuhi standar regulasi farmasi (USP, EP, JP, ISO 7218). PlateVisionAI dikembangkan sebagai alternatif berbasis AI yang lebih fleksibel, terukur, dan cost-effective dibandingkan solusi hardware-dependent dari Interscience.</w:t>
      </w:r>
    </w:p>
    <w:p>
      <w:pPr>
        <w:spacing w:after="120" w:line="312"/>
        <w:ind w:firstLine="420"/>
        <w:jc w:val="both"/>
      </w:pPr>
      <w:r>
        <w:rPr>
          <w:rFonts w:ascii="Calibri" w:eastAsia="Microsoft YaHei"/>
          <w:color w:val="1E2E40"/>
          <w:sz w:val="24"/>
          <w:szCs w:val="24"/>
        </w:rPr>
        <w:t xml:space="preserve">Dengan memanfaatkan arsitektur YOLOv8 yang telah terbukti unggul dalam deteksi objek real-time, PlateVisionAI berpotensi tidak hanya menyamai tetapi juga mengungguli Interscience dalam beberapa aspek kunci, terutama pada kemampuan deteksi kontaminan (bubble, dust, crack) yang tidak ditangani secara native oleh produk Interscience. Namun, untuk mencapai posisi kompetitif tersebut, diperlukan penguatan pada beberapa area yang diuraikan dalam dokumen ini.</w:t>
      </w:r>
    </w:p>
    <w:p>
      <w:pPr>
        <w:pStyle w:val="Heading2"/>
        <w:spacing w:after="120" w:before="280" w:line="312"/>
      </w:pPr>
      <w:bookmarkStart w:id="100004" w:name="_Toc100004"/>
      <w:r>
        <w:rPr>
          <w:rFonts w:ascii="Calibri" w:eastAsia="SimHei"/>
          <w:b/>
          <w:bCs/>
          <w:color w:val="1A5276"/>
          <w:sz w:val="28"/>
          <w:szCs w:val="28"/>
        </w:rPr>
        <w:t xml:space="preserve">2.2 Ruang Lingkup</w:t>
      </w:r>
      <w:bookmarkEnd w:id="100004"/>
    </w:p>
    <w:p>
      <w:pPr>
        <w:spacing w:after="120" w:line="312"/>
        <w:ind w:firstLine="420"/>
        <w:jc w:val="both"/>
      </w:pPr>
      <w:r>
        <w:rPr>
          <w:rFonts w:ascii="Calibri" w:eastAsia="Microsoft YaHei"/>
          <w:color w:val="1E2E40"/>
          <w:sz w:val="24"/>
          <w:szCs w:val="24"/>
        </w:rPr>
        <w:t xml:space="preserve">Dokumen ini mencakup seluruh persyaratan pada layer aplikasi PlateVisionAI, yang meliputi komponen inferensi model, akuisisi dan pra-pemrosesan citra, antarmuka pengguna, sistem pelaporan, manajemen data, integrasi eksternal, keamanan informasi, serta kepatuhan regulasi. Persyaratan diturunkan dari analisis komparatif terhadap fitur-fitur utama Interscience scan series, standar regulasi yang berlaku di industri farmasi dan klinis, serta praktik terbaik dalam rekayasa perangkat lunak medis.</w:t>
      </w:r>
    </w:p>
    <w:p>
      <w:pPr>
        <w:spacing w:after="120" w:line="312"/>
        <w:ind w:firstLine="420"/>
        <w:jc w:val="both"/>
      </w:pPr>
      <w:r>
        <w:rPr>
          <w:rFonts w:ascii="Calibri" w:eastAsia="Microsoft YaHei"/>
          <w:color w:val="1E2E40"/>
          <w:sz w:val="24"/>
          <w:szCs w:val="24"/>
        </w:rPr>
        <w:t xml:space="preserve">Di luar ruang lingkup dokumen ini adalah: (1) detail arsitektur hardware kamera dan mekanisme pencahayaan, (2) pelatihan dan pengoptimalan model yang telah dibahas secara terpisah, (3) proses validasi dan kualifikasi sesuai GMP yang akan dirinci pada dokumen validasi terpisah, dan (4) strategi komersialisasi dan bisnis.</w:t>
      </w:r>
    </w:p>
    <w:p>
      <w:pPr>
        <w:pStyle w:val="Heading2"/>
        <w:spacing w:after="120" w:before="280" w:line="312"/>
      </w:pPr>
      <w:bookmarkStart w:id="100005" w:name="_Toc100005"/>
      <w:r>
        <w:rPr>
          <w:rFonts w:ascii="Calibri" w:eastAsia="SimHei"/>
          <w:b/>
          <w:bCs/>
          <w:color w:val="1A5276"/>
          <w:sz w:val="28"/>
          <w:szCs w:val="28"/>
        </w:rPr>
        <w:t xml:space="preserve">2.3 Status PlateVisionAI Saat Ini</w:t>
      </w:r>
      <w:bookmarkEnd w:id="100005"/>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cantSplit/>
          <w:tblHeader/>
        </w:trPr>
        <w:tc>
          <w:tcPr>
            <w:tcW w:type="pct" w:w="3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Komponen</w:t>
            </w:r>
          </w:p>
        </w:tc>
        <w:tc>
          <w:tcPr>
            <w:tcW w:type="pct" w:w="4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Status Saat Ini</w:t>
            </w:r>
          </w:p>
        </w:tc>
        <w:tc>
          <w:tcPr>
            <w:tcW w:type="pct" w:w="3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Target</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Model YOLOv8m V4</w:t>
            </w:r>
          </w:p>
        </w:tc>
        <w:tc>
          <w:tcPr>
            <w:tcW w:type="pct" w:w="4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mAP50: 0.9145, mAP50-95: 0.6984</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mAP50 &gt; 0.95, mAP50-95 &gt; 0.75</w:t>
            </w:r>
          </w:p>
        </w:tc>
      </w:tr>
      <w:tr>
        <w:trPr>
          <w:cantSplit/>
        </w:trPr>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Kelas Colony</w:t>
            </w:r>
          </w:p>
        </w:tc>
        <w:tc>
          <w:tcPr>
            <w:tcW w:type="pct" w:w="4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mAP50: 0.92+ (kuat)</w:t>
            </w:r>
          </w:p>
        </w:tc>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Pertahankan &gt; 0.95</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Kelas Bubble</w:t>
            </w:r>
          </w:p>
        </w:tc>
        <w:tc>
          <w:tcPr>
            <w:tcW w:type="pct" w:w="4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mAP50: 0.85+ (cukup)</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Tingkatkan &gt; 0.90</w:t>
            </w:r>
          </w:p>
        </w:tc>
      </w:tr>
      <w:tr>
        <w:trPr>
          <w:cantSplit/>
        </w:trPr>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Kelas Crack</w:t>
            </w:r>
          </w:p>
        </w:tc>
        <w:tc>
          <w:tcPr>
            <w:tcW w:type="pct" w:w="4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mAP50: 0.499 (lemah)</w:t>
            </w:r>
          </w:p>
        </w:tc>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Tingkatkan &gt; 0.80</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Kelas Dust</w:t>
            </w:r>
          </w:p>
        </w:tc>
        <w:tc>
          <w:tcPr>
            <w:tcW w:type="pct" w:w="4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mAP50-95: 0.241 (lemah)</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Tingkatkan &gt; 0.50</w:t>
            </w:r>
          </w:p>
        </w:tc>
      </w:tr>
      <w:tr>
        <w:trPr>
          <w:cantSplit/>
        </w:trPr>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Antarmuka Pengguna</w:t>
            </w:r>
          </w:p>
        </w:tc>
        <w:tc>
          <w:tcPr>
            <w:tcW w:type="pct" w:w="4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Gradio (basic UI)</w:t>
            </w:r>
          </w:p>
        </w:tc>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Production-grade web app</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Penghitungan Koloni</w:t>
            </w:r>
          </w:p>
        </w:tc>
        <w:tc>
          <w:tcPr>
            <w:tcW w:type="pct" w:w="4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Deteksi tanpa counting logic</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Automated counting + filtering</w:t>
            </w:r>
          </w:p>
        </w:tc>
      </w:tr>
      <w:tr>
        <w:trPr>
          <w:cantSplit/>
        </w:trPr>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Pelaporan</w:t>
            </w:r>
          </w:p>
        </w:tc>
        <w:tc>
          <w:tcPr>
            <w:tcW w:type="pct" w:w="4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Tidak ada</w:t>
            </w:r>
          </w:p>
        </w:tc>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PDF/Excel report + audit trail</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Multi-user</w:t>
            </w:r>
          </w:p>
        </w:tc>
        <w:tc>
          <w:tcPr>
            <w:tcW w:type="pct" w:w="4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Single user</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Multi-user + RBAC</w:t>
            </w:r>
          </w:p>
        </w:tc>
      </w:tr>
    </w:tbl>
    <w:p>
      <w:pPr>
        <w:keepNext/>
        <w:spacing w:after="200" w:before="120" w:line="312"/>
        <w:jc w:val="center"/>
      </w:pPr>
      <w:r>
        <w:rPr>
          <w:rFonts w:ascii="Calibri" w:eastAsia="Microsoft YaHei"/>
          <w:i/>
          <w:iCs/>
          <w:color w:val="4A6580"/>
          <w:sz w:val="21"/>
          <w:szCs w:val="21"/>
        </w:rPr>
        <w:t xml:space="preserve">Tabel 2.1: Status Kapabilitas PlateVisionAI vs Target</w:t>
      </w:r>
    </w:p>
    <w:p>
      <w:pPr>
        <w:pStyle w:val="Heading1"/>
        <w:spacing w:after="160" w:before="360" w:line="312"/>
      </w:pPr>
      <w:bookmarkStart w:id="100006" w:name="_Toc100006"/>
      <w:r>
        <w:rPr>
          <w:rFonts w:ascii="Calibri" w:eastAsia="SimHei"/>
          <w:b/>
          <w:bCs/>
          <w:color w:val="1A5276"/>
          <w:sz w:val="32"/>
          <w:szCs w:val="32"/>
        </w:rPr>
        <w:t xml:space="preserve">3. Persyaratan Fungsional</w:t>
      </w:r>
      <w:bookmarkEnd w:id="100006"/>
    </w:p>
    <w:p>
      <w:pPr>
        <w:spacing w:after="120" w:line="312"/>
        <w:ind w:firstLine="420"/>
        <w:jc w:val="both"/>
      </w:pPr>
      <w:r>
        <w:rPr>
          <w:rFonts w:ascii="Calibri" w:eastAsia="Microsoft YaHei"/>
          <w:color w:val="1E2E40"/>
          <w:sz w:val="24"/>
          <w:szCs w:val="24"/>
        </w:rPr>
        <w:t xml:space="preserve">Bagian ini mendefinisikan seluruh kapabilitas fungsional yang harus dimiliki PlateVisionAI untuk mencapai paritas atau keunggulan terhadap Interscience. Setiap persyaratan diberi kode unik (FR-XX), deskripsi, kriteria penerimaan, dan prioritas implementasi.</w:t>
      </w:r>
    </w:p>
    <w:p>
      <w:pPr>
        <w:pStyle w:val="Heading2"/>
        <w:spacing w:after="120" w:before="280" w:line="312"/>
      </w:pPr>
      <w:bookmarkStart w:id="100007" w:name="_Toc100007"/>
      <w:r>
        <w:rPr>
          <w:rFonts w:ascii="Calibri" w:eastAsia="SimHei"/>
          <w:b/>
          <w:bCs/>
          <w:color w:val="1A5276"/>
          <w:sz w:val="28"/>
          <w:szCs w:val="28"/>
        </w:rPr>
        <w:t xml:space="preserve">3.1 FR-01: Deteksi dan Klasifikasi Koloni</w:t>
      </w:r>
      <w:bookmarkEnd w:id="100007"/>
    </w:p>
    <w:p>
      <w:pPr>
        <w:spacing w:after="120" w:line="312"/>
        <w:ind w:firstLine="420"/>
        <w:jc w:val="both"/>
      </w:pPr>
      <w:r>
        <w:rPr>
          <w:rFonts w:ascii="Calibri" w:eastAsia="Microsoft YaHei"/>
          <w:color w:val="1E2E40"/>
          <w:sz w:val="24"/>
          <w:szCs w:val="24"/>
        </w:rPr>
        <w:t xml:space="preserve">Sistem harus mampu mendeteksi dan mengklasifikasikan seluruh koloni bakteri yang tumbuh pada media agar dengan akurasi yang setara atau melebihi penghitungan manual oleh mikrobiologis terlatih. Ini merupakan kapabilitas inti yang menjadi fondasi seluruh fungsi lainnya, dan merupakan fitur utama yang juga ditawarkan oleh Interscience pada seluruh lini produknya.</w:t>
      </w:r>
    </w:p>
    <w:p>
      <w:pPr>
        <w:pStyle w:val="Heading3"/>
        <w:spacing w:after="100" w:before="200" w:line="312"/>
      </w:pPr>
      <w:bookmarkStart w:id="100008" w:name="_Toc100008"/>
      <w:r>
        <w:rPr>
          <w:rFonts w:ascii="Calibri" w:eastAsia="SimHei"/>
          <w:b/>
          <w:bCs/>
          <w:color w:val="1A5276"/>
          <w:sz w:val="24"/>
          <w:szCs w:val="24"/>
        </w:rPr>
        <w:t xml:space="preserve">3.1.1 FR-01.1: Deteksi Multi-ukuran Koloni</w:t>
      </w:r>
      <w:bookmarkEnd w:id="100008"/>
    </w:p>
    <w:p>
      <w:pPr>
        <w:spacing w:after="120" w:line="312"/>
        <w:ind w:firstLine="420"/>
        <w:jc w:val="both"/>
      </w:pPr>
      <w:r>
        <w:rPr>
          <w:rFonts w:ascii="Calibri" w:eastAsia="Microsoft YaHei"/>
          <w:color w:val="1E2E40"/>
          <w:sz w:val="24"/>
          <w:szCs w:val="24"/>
        </w:rPr>
        <w:t xml:space="preserve">Sistem harus mampu mendeteksi koloni dengan ukuran yang bervariasi dari 0.1 mm hingga 10 mm tanpa kehilangan deteksi (false negative) yang signifikan. Koloni kecil yang baru terbentuk (pinpoint colonies) harus terdeteksi dengan recall minimal 95%, sementara koloni besar yang berdekatan atau saling bertumpukan (confluent colonies) harus dapat diidentifikasi dan ditandai sebagai area konfluens. Interscience mengklaim kemampuan deteksi pada ukuran koloni mulai dari 0.1 mm, dan PlateVisionAI harus mencapai spesifikasi serupa atau lebih baik.</w:t>
      </w:r>
    </w:p>
    <w:p>
      <w:pPr>
        <w:pStyle w:val="Heading3"/>
        <w:spacing w:after="100" w:before="200" w:line="312"/>
      </w:pPr>
      <w:bookmarkStart w:id="100009" w:name="_Toc100009"/>
      <w:r>
        <w:rPr>
          <w:rFonts w:ascii="Calibri" w:eastAsia="SimHei"/>
          <w:b/>
          <w:bCs/>
          <w:color w:val="1A5276"/>
          <w:sz w:val="24"/>
          <w:szCs w:val="24"/>
        </w:rPr>
        <w:t xml:space="preserve">3.1.2 FR-01.2: Klasifikasi Morfologi Koloni</w:t>
      </w:r>
      <w:bookmarkEnd w:id="100009"/>
    </w:p>
    <w:p>
      <w:pPr>
        <w:spacing w:after="120" w:line="312"/>
        <w:ind w:firstLine="420"/>
        <w:jc w:val="both"/>
      </w:pPr>
      <w:r>
        <w:rPr>
          <w:rFonts w:ascii="Calibri" w:eastAsia="Microsoft YaHei"/>
          <w:color w:val="1E2E40"/>
          <w:sz w:val="24"/>
          <w:szCs w:val="24"/>
        </w:rPr>
        <w:t xml:space="preserve">Sistem harus mampu mengklasifikasikan koloni berdasarkan karakteristik morfologi dasar seperti bentuk (circular, irregular, filamentous), elevasi (flat, raised, convex, umbonate), margin (entire, undulate, lobate), warna, dan transparansi. Meskipun Interscience menyediakan klasifikasi dasar berdasarkan ukuran dan warna, PlateVisionAI dapat mengungguli dengan menawarkan klasifikasi morfologi yang lebih kaya menggunakan model deep learning. Klasifikasi morfologi ini harus mencapai akurasi minimal 90% dibandingkan penilaian ahli mikrobiologi.</w:t>
      </w:r>
    </w:p>
    <w:p>
      <w:pPr>
        <w:pStyle w:val="Heading3"/>
        <w:spacing w:after="100" w:before="200" w:line="312"/>
      </w:pPr>
      <w:bookmarkStart w:id="100010" w:name="_Toc100010"/>
      <w:r>
        <w:rPr>
          <w:rFonts w:ascii="Calibri" w:eastAsia="SimHei"/>
          <w:b/>
          <w:bCs/>
          <w:color w:val="1A5276"/>
          <w:sz w:val="24"/>
          <w:szCs w:val="24"/>
        </w:rPr>
        <w:t xml:space="preserve">3.1.3 FR-01.3: Diferensiasi Koloni dari Artefak</w:t>
      </w:r>
      <w:bookmarkEnd w:id="100010"/>
    </w:p>
    <w:p>
      <w:pPr>
        <w:spacing w:after="120" w:line="312"/>
        <w:ind w:firstLine="420"/>
        <w:jc w:val="both"/>
      </w:pPr>
      <w:r>
        <w:rPr>
          <w:rFonts w:ascii="Calibri" w:eastAsia="Microsoft YaHei"/>
          <w:color w:val="1E2E40"/>
          <w:sz w:val="24"/>
          <w:szCs w:val="24"/>
        </w:rPr>
        <w:t xml:space="preserve">Sistem harus mampu membedakan koloni bakteri sejati dari artefak yang serupa secara visual, termasuk gelembung udara (bubble), partikel debu (dust), dan retakan media (crack). Ini adalah keunggulan kompetitif utama PlateVisionAI dibandingkan Interscience yang memerlukan intervensi manual untuk mengoreksi kesalahan akibat artefak. Model saat ini sudah mendukung 4 kelas (colony, bubble, dust, crack), namun akurasi pada kelas crack dan dust masih perlu ditingkatkan secara signifikan untuk mencapai reliabilitas klinis.</w:t>
      </w:r>
    </w:p>
    <w:p>
      <w:pPr>
        <w:pStyle w:val="Heading2"/>
        <w:spacing w:after="120" w:before="280" w:line="312"/>
      </w:pPr>
      <w:bookmarkStart w:id="100011" w:name="_Toc100011"/>
      <w:r>
        <w:rPr>
          <w:rFonts w:ascii="Calibri" w:eastAsia="SimHei"/>
          <w:b/>
          <w:bCs/>
          <w:color w:val="1A5276"/>
          <w:sz w:val="28"/>
          <w:szCs w:val="28"/>
        </w:rPr>
        <w:t xml:space="preserve">3.2 FR-02: Penghitungan Koloni Otomatis</w:t>
      </w:r>
      <w:bookmarkEnd w:id="100011"/>
    </w:p>
    <w:p>
      <w:pPr>
        <w:spacing w:after="120" w:line="312"/>
        <w:ind w:firstLine="420"/>
        <w:jc w:val="both"/>
      </w:pPr>
      <w:r>
        <w:rPr>
          <w:rFonts w:ascii="Calibri" w:eastAsia="Microsoft YaHei"/>
          <w:color w:val="1E2E40"/>
          <w:sz w:val="24"/>
          <w:szCs w:val="24"/>
        </w:rPr>
        <w:t xml:space="preserve">Penghitungan koloni otomatis merupakan fungsi utama yang menjadi nilai jual inti dari setiap colony counter komersial. Interscience menyediakan penghitungan otomatis yang telah divalidasi dan digunakan secara luas di laboratorium bersertifikasi GMP. PlateVisionAI harus menyediakan kapabilitas yang setara dengan tambahan fleksibilitas yang ditawarkan oleh pendekatan berbasis AI.</w:t>
      </w:r>
    </w:p>
    <w:p>
      <w:pPr>
        <w:pStyle w:val="Heading3"/>
        <w:spacing w:after="100" w:before="200" w:line="312"/>
      </w:pPr>
      <w:bookmarkStart w:id="100012" w:name="_Toc100012"/>
      <w:r>
        <w:rPr>
          <w:rFonts w:ascii="Calibri" w:eastAsia="SimHei"/>
          <w:b/>
          <w:bCs/>
          <w:color w:val="1A5276"/>
          <w:sz w:val="24"/>
          <w:szCs w:val="24"/>
        </w:rPr>
        <w:t xml:space="preserve">3.2.1 FR-02.1: Penghitungan Koloni Total</w:t>
      </w:r>
      <w:bookmarkEnd w:id="100012"/>
    </w:p>
    <w:p>
      <w:pPr>
        <w:spacing w:after="120" w:line="312"/>
        <w:ind w:firstLine="420"/>
        <w:jc w:val="both"/>
      </w:pPr>
      <w:r>
        <w:rPr>
          <w:rFonts w:ascii="Calibri" w:eastAsia="Microsoft YaHei"/>
          <w:color w:val="1E2E40"/>
          <w:sz w:val="24"/>
          <w:szCs w:val="24"/>
        </w:rPr>
        <w:t xml:space="preserve">Sistem harus menghitung jumlah total koloni pada cawan agar secara otomatis dengan akurasi minimal 98% dibandingkan penghitungan manual oleh dua operator independen untuk sampel dengan jumlah koloni 30-300 (range yang valid menurut standar ISO 7218 dan USP &lt;61&gt;). Untuk koloni di luar range tersebut, akurasi minimal 95% harus tetap tercapai. Penghitungan harus selesai dalam waktu kurang dari 3 detik per cawan setelah gambar diakuisisi, yang merupakan benchmark yang ditetapkan berdasarkan performa Interscience scan 1200.</w:t>
      </w:r>
    </w:p>
    <w:p>
      <w:pPr>
        <w:pStyle w:val="Heading3"/>
        <w:spacing w:after="100" w:before="200" w:line="312"/>
      </w:pPr>
      <w:bookmarkStart w:id="100013" w:name="_Toc100013"/>
      <w:r>
        <w:rPr>
          <w:rFonts w:ascii="Calibri" w:eastAsia="SimHei"/>
          <w:b/>
          <w:bCs/>
          <w:color w:val="1A5276"/>
          <w:sz w:val="24"/>
          <w:szCs w:val="24"/>
        </w:rPr>
        <w:t xml:space="preserve">3.2.2 FR-02.3: Penghitungan Selektif dan Filtering</w:t>
      </w:r>
      <w:bookmarkEnd w:id="100013"/>
    </w:p>
    <w:p>
      <w:pPr>
        <w:spacing w:after="120" w:line="312"/>
        <w:ind w:firstLine="420"/>
        <w:jc w:val="both"/>
      </w:pPr>
      <w:r>
        <w:rPr>
          <w:rFonts w:ascii="Calibri" w:eastAsia="Microsoft YaHei"/>
          <w:color w:val="1E2E40"/>
          <w:sz w:val="24"/>
          <w:szCs w:val="24"/>
        </w:rPr>
        <w:t xml:space="preserve">Sistem harus menyediakan kapabilitas filtering yang memungkinkan pengguna untuk menyaring koloni berdasarkan ukuran, warna, morfologi, dan lokasi pada cawan. Pengguna harus dapat mengatur rentang ukuran koloni yang dihitung, mengecualikan koloni pada area tepi (margin) cawan, serta memfilter berdasarkan kelas (misalnya hanya menghitung koloni dan mengecualikan bubble, dust, crack). Interscience menyediakan fitur serupa melalui perangkat lunak scan^SOFT, dan PlateVisionAI harus menyamai fleksibilitas ini dengan antarmuka yang lebih intuitif.</w:t>
      </w:r>
    </w:p>
    <w:p>
      <w:pPr>
        <w:pStyle w:val="Heading3"/>
        <w:spacing w:after="100" w:before="200" w:line="312"/>
      </w:pPr>
      <w:bookmarkStart w:id="100014" w:name="_Toc100014"/>
      <w:r>
        <w:rPr>
          <w:rFonts w:ascii="Calibri" w:eastAsia="SimHei"/>
          <w:b/>
          <w:bCs/>
          <w:color w:val="1A5276"/>
          <w:sz w:val="24"/>
          <w:szCs w:val="24"/>
        </w:rPr>
        <w:t xml:space="preserve">3.2.3 FR-02.4: Koreksi Manual Terbimbing</w:t>
      </w:r>
      <w:bookmarkEnd w:id="100014"/>
    </w:p>
    <w:p>
      <w:pPr>
        <w:spacing w:after="120" w:line="312"/>
        <w:ind w:firstLine="420"/>
        <w:jc w:val="both"/>
      </w:pPr>
      <w:r>
        <w:rPr>
          <w:rFonts w:ascii="Calibri" w:eastAsia="Microsoft YaHei"/>
          <w:color w:val="1E2E40"/>
          <w:sz w:val="24"/>
          <w:szCs w:val="24"/>
        </w:rPr>
        <w:t xml:space="preserve">Sistem harus mengizinkan pengguna untuk menambah, menghapus, atau mengklasifikasi ulang deteksi yang dianggap tidak akurat. Setiap koreksi manual harus dicatat dalam audit trail dengan informasi pengguna, waktu, alasan koreksi, dan perubahan yang dilakukan. Sistem harus menyediakan mode “koreksi terbimbing” di mana AI menyoroti deteksi dengan confidence score rendah dan meminta konfirmasi pengguna, mirip dengan mekanisme validasi yang diterapkan pada Interscience scan 3000.</w:t>
      </w:r>
    </w:p>
    <w:p>
      <w:pPr>
        <w:pStyle w:val="Heading2"/>
        <w:spacing w:after="120" w:before="280" w:line="312"/>
      </w:pPr>
      <w:bookmarkStart w:id="100015" w:name="_Toc100015"/>
      <w:r>
        <w:rPr>
          <w:rFonts w:ascii="Calibri" w:eastAsia="SimHei"/>
          <w:b/>
          <w:bCs/>
          <w:color w:val="1A5276"/>
          <w:sz w:val="28"/>
          <w:szCs w:val="28"/>
        </w:rPr>
        <w:t xml:space="preserve">3.3 FR-03: Deteksi dan Penandaan Kontaminan</w:t>
      </w:r>
      <w:bookmarkEnd w:id="100015"/>
    </w:p>
    <w:p>
      <w:pPr>
        <w:spacing w:after="120" w:line="312"/>
        <w:ind w:firstLine="420"/>
        <w:jc w:val="both"/>
      </w:pPr>
      <w:r>
        <w:rPr>
          <w:rFonts w:ascii="Calibri" w:eastAsia="Microsoft YaHei"/>
          <w:color w:val="1E2E40"/>
          <w:sz w:val="24"/>
          <w:szCs w:val="24"/>
        </w:rPr>
        <w:t xml:space="preserve">Kemampuan mendeteksi dan menandai kontaminan pada media agar merupakan diferensiator kunci PlateVisionAI. Interscience tidak menyediakan deteksi kontaminan otomatis dan mengandalkan pengguna untuk mengidentifikasi artefak secara manual. PlateVisionAI yang mampu mendeteksi bubble, dust, dan crack secara otomatis akan memiliki keunggulan kompetitif yang signifikan.</w:t>
      </w:r>
    </w:p>
    <w:p>
      <w:pPr>
        <w:pStyle w:val="Heading3"/>
        <w:spacing w:after="100" w:before="200" w:line="312"/>
      </w:pPr>
      <w:bookmarkStart w:id="100016" w:name="_Toc100016"/>
      <w:r>
        <w:rPr>
          <w:rFonts w:ascii="Calibri" w:eastAsia="SimHei"/>
          <w:b/>
          <w:bCs/>
          <w:color w:val="1A5276"/>
          <w:sz w:val="24"/>
          <w:szCs w:val="24"/>
        </w:rPr>
        <w:t xml:space="preserve">3.3.1 FR-03.1: Deteksi Gelembung Udara (Bubble)</w:t>
      </w:r>
      <w:bookmarkEnd w:id="100016"/>
    </w:p>
    <w:p>
      <w:pPr>
        <w:spacing w:after="120" w:line="312"/>
        <w:ind w:firstLine="420"/>
        <w:jc w:val="both"/>
      </w:pPr>
      <w:r>
        <w:rPr>
          <w:rFonts w:ascii="Calibri" w:eastAsia="Microsoft YaHei"/>
          <w:color w:val="1E2E40"/>
          <w:sz w:val="24"/>
          <w:szCs w:val="24"/>
        </w:rPr>
        <w:t xml:space="preserve">Sistem harus mendeteksi gelembung udara pada media agar dengan precision minimal 92% dan recall minimal 90%. Gelembung harus ditandai dengan label dan warna yang berbeda dari koloni agar pengguna dapat dengan mudah membedakannya. Sistem harus mencatat jumlah gelembung yang terdeteksi sebagai metadata sampel, yang berguna untuk penilaian kualitas media agar. Model saat ini sudah memiliki performa yang cukup baik pada kelas bubble, namun perlu distabilkan pada berbagai kondisi pencahayaan.</w:t>
      </w:r>
    </w:p>
    <w:p>
      <w:pPr>
        <w:pStyle w:val="Heading3"/>
        <w:spacing w:after="100" w:before="200" w:line="312"/>
      </w:pPr>
      <w:bookmarkStart w:id="100017" w:name="_Toc100017"/>
      <w:r>
        <w:rPr>
          <w:rFonts w:ascii="Calibri" w:eastAsia="SimHei"/>
          <w:b/>
          <w:bCs/>
          <w:color w:val="1A5276"/>
          <w:sz w:val="24"/>
          <w:szCs w:val="24"/>
        </w:rPr>
        <w:t xml:space="preserve">3.3.2 FR-03.2: Deteksi Partikel Debu (Dust)</w:t>
      </w:r>
      <w:bookmarkEnd w:id="100017"/>
    </w:p>
    <w:p>
      <w:pPr>
        <w:spacing w:after="120" w:line="312"/>
        <w:ind w:firstLine="420"/>
        <w:jc w:val="both"/>
      </w:pPr>
      <w:r>
        <w:rPr>
          <w:rFonts w:ascii="Calibri" w:eastAsia="Microsoft YaHei"/>
          <w:color w:val="1E2E40"/>
          <w:sz w:val="24"/>
          <w:szCs w:val="24"/>
        </w:rPr>
        <w:t xml:space="preserve">Sistem harus mendeteksi partikel debu atau kontaminan non-biologis lainnya pada permukaan media dengan precision minimal 90% dan recall minimal 88%. Deteksi dust merupakan tantangan karena partikel debu memiliki variasi morfologi yang sangat tinggi dan dapat menyerupai koloni kecil. Peningkatan performa kelas dust dari mAP50-95 saat ini (0.241) menjadi minimal 0.50 merupakan prerequisite untuk memenuhi persyaratan ini. Strategi yang direkomendasikan meliputi augmentasi data targeted, focal loss, dan penambahan data latih khusus dust.</w:t>
      </w:r>
    </w:p>
    <w:p>
      <w:pPr>
        <w:pStyle w:val="Heading3"/>
        <w:spacing w:after="100" w:before="200" w:line="312"/>
      </w:pPr>
      <w:bookmarkStart w:id="100018" w:name="_Toc100018"/>
      <w:r>
        <w:rPr>
          <w:rFonts w:ascii="Calibri" w:eastAsia="SimHei"/>
          <w:b/>
          <w:bCs/>
          <w:color w:val="1A5276"/>
          <w:sz w:val="24"/>
          <w:szCs w:val="24"/>
        </w:rPr>
        <w:t xml:space="preserve">3.3.3 FR-03.3: Deteksi Retakan Media (Crack)</w:t>
      </w:r>
      <w:bookmarkEnd w:id="100018"/>
    </w:p>
    <w:p>
      <w:pPr>
        <w:spacing w:after="120" w:line="312"/>
        <w:ind w:firstLine="420"/>
        <w:jc w:val="both"/>
      </w:pPr>
      <w:r>
        <w:rPr>
          <w:rFonts w:ascii="Calibri" w:eastAsia="Microsoft YaHei"/>
          <w:color w:val="1E2E40"/>
          <w:sz w:val="24"/>
          <w:szCs w:val="24"/>
        </w:rPr>
        <w:t xml:space="preserve">Sistem harus mendeteksi retakan pada media agar dengan precision minimal 88% dan recall minimal 85%. Retakan media merupakan artefak yang sering terjadi akibat proses penuangan atau penyimpanan yang tidak tepat, dan dapat menyebabkan kesalahan penghitungan jika tidak diidentifikasi. Peningkatan performa kelas crack dari mAP50 saat ini (0.499) menjadi minimal 0.80 merupakan target kritis. Pendekatan yang direkomendasikan termasuk penambahan data latih crack secara signifikan, penggunaan model ensemble, dan fine-tuning pada backbone network.</w:t>
      </w:r>
    </w:p>
    <w:p>
      <w:pPr>
        <w:pStyle w:val="Heading2"/>
        <w:spacing w:after="120" w:before="280" w:line="312"/>
      </w:pPr>
      <w:bookmarkStart w:id="100019" w:name="_Toc100019"/>
      <w:r>
        <w:rPr>
          <w:rFonts w:ascii="Calibri" w:eastAsia="SimHei"/>
          <w:b/>
          <w:bCs/>
          <w:color w:val="1A5276"/>
          <w:sz w:val="28"/>
          <w:szCs w:val="28"/>
        </w:rPr>
        <w:t xml:space="preserve">3.4 FR-04: Akuisisi dan Pemrosesan Citra</w:t>
      </w:r>
      <w:bookmarkEnd w:id="100019"/>
    </w:p>
    <w:p>
      <w:pPr>
        <w:spacing w:after="120" w:line="312"/>
        <w:ind w:firstLine="420"/>
        <w:jc w:val="both"/>
      </w:pPr>
      <w:r>
        <w:rPr>
          <w:rFonts w:ascii="Calibri" w:eastAsia="Microsoft YaHei"/>
          <w:color w:val="1E2E40"/>
          <w:sz w:val="24"/>
          <w:szCs w:val="24"/>
        </w:rPr>
        <w:t xml:space="preserve">Kualitas citra input merupakan faktor determinan bagi akurasi deteksi dan penghitungan. Interscience menyediakan kamera dan sistem pencahayaan terintegrasi pada perangkat kerasnya, sementara PlateVisionAI harus dapat bekerja dengan berbagai sumber citra sekaligus menyediakan panduan untuk setup akuisisi yang optimal.</w:t>
      </w:r>
    </w:p>
    <w:p>
      <w:pPr>
        <w:pStyle w:val="Heading3"/>
        <w:spacing w:after="100" w:before="200" w:line="312"/>
      </w:pPr>
      <w:bookmarkStart w:id="100020" w:name="_Toc100020"/>
      <w:r>
        <w:rPr>
          <w:rFonts w:ascii="Calibri" w:eastAsia="SimHei"/>
          <w:b/>
          <w:bCs/>
          <w:color w:val="1A5276"/>
          <w:sz w:val="24"/>
          <w:szCs w:val="24"/>
        </w:rPr>
        <w:t xml:space="preserve">3.4.1 FR-04.1: Dukungan Multi-sumber Citra</w:t>
      </w:r>
      <w:bookmarkEnd w:id="100020"/>
    </w:p>
    <w:p>
      <w:pPr>
        <w:spacing w:after="120" w:line="312"/>
        <w:ind w:firstLine="420"/>
        <w:jc w:val="both"/>
      </w:pPr>
      <w:r>
        <w:rPr>
          <w:rFonts w:ascii="Calibri" w:eastAsia="Microsoft YaHei"/>
          <w:color w:val="1E2E40"/>
          <w:sz w:val="24"/>
          <w:szCs w:val="24"/>
        </w:rPr>
        <w:t xml:space="preserve">Sistem harus menerima input citra dari berbagai sumber: (1) upload gambar statis (JPEG, PNG, TIFF, BMP) dengan resolusi minimal 300 DPI, (2) kamera USB/IP yang terhubung langsung untuk akuisisi real-time, (3) scanner flatbed yang menghasilkan gambar resolusi tinggi, dan (4) kamera smartphone melalui antarmuka web responsif. Interscience mengklaim kompatibilitas dengan berbagai jenis kamera dan scanner, dan PlateVisionAI harus menyamai fleksibilitas ini. Format RAW dari kamera profesional juga harus didukung untuk mempertahankan kualitas citra maksimal sebelum pra-pemrosesan.</w:t>
      </w:r>
    </w:p>
    <w:p>
      <w:pPr>
        <w:pStyle w:val="Heading3"/>
        <w:spacing w:after="100" w:before="200" w:line="312"/>
      </w:pPr>
      <w:bookmarkStart w:id="100021" w:name="_Toc100021"/>
      <w:r>
        <w:rPr>
          <w:rFonts w:ascii="Calibri" w:eastAsia="SimHei"/>
          <w:b/>
          <w:bCs/>
          <w:color w:val="1A5276"/>
          <w:sz w:val="24"/>
          <w:szCs w:val="24"/>
        </w:rPr>
        <w:t xml:space="preserve">3.4.2 FR-04.2: Pra-pemrosesan Otomatis</w:t>
      </w:r>
      <w:bookmarkEnd w:id="100021"/>
    </w:p>
    <w:p>
      <w:pPr>
        <w:spacing w:after="120" w:line="312"/>
        <w:ind w:firstLine="420"/>
        <w:jc w:val="both"/>
      </w:pPr>
      <w:r>
        <w:rPr>
          <w:rFonts w:ascii="Calibri" w:eastAsia="Microsoft YaHei"/>
          <w:color w:val="1E2E40"/>
          <w:sz w:val="24"/>
          <w:szCs w:val="24"/>
        </w:rPr>
        <w:t xml:space="preserve">Sistem harus melakukan pra-pemrosesan citra secara otomatis sebelum inferensi, yang meliputi: (1) koreksi white balance untuk menormalisasi warna, (2) koreksi distorsi lensa barrel/pincushion, (3) deteksi dan koreksi rotasi cawan agar, (4) segmentasi area cawan (petri dish segmentation) untuk membatasi area analisis, (5) normalisasi brightness dan contrast, dan (6) noise reduction yang mempertahankan detail koloni kecil. Pipeline pra-pemrosesan ini harus dapat dinonaktifkan atau dikustomisasi oleh pengguna tingkat lanjut. Interscience menyediakan pra-pemrosesan dasar, namun PlateVisionAI dapat mengungguli dengan pipeline yang lebih canggih dan adaptif.</w:t>
      </w:r>
    </w:p>
    <w:p>
      <w:pPr>
        <w:pStyle w:val="Heading3"/>
        <w:spacing w:after="100" w:before="200" w:line="312"/>
      </w:pPr>
      <w:bookmarkStart w:id="100022" w:name="_Toc100022"/>
      <w:r>
        <w:rPr>
          <w:rFonts w:ascii="Calibri" w:eastAsia="SimHei"/>
          <w:b/>
          <w:bCs/>
          <w:color w:val="1A5276"/>
          <w:sz w:val="24"/>
          <w:szCs w:val="24"/>
        </w:rPr>
        <w:t xml:space="preserve">3.4.3 FR-04.3: Kontrol Kualitas Citra Input</w:t>
      </w:r>
      <w:bookmarkEnd w:id="100022"/>
    </w:p>
    <w:p>
      <w:pPr>
        <w:spacing w:after="120" w:line="312"/>
        <w:ind w:firstLine="420"/>
        <w:jc w:val="both"/>
      </w:pPr>
      <w:r>
        <w:rPr>
          <w:rFonts w:ascii="Calibri" w:eastAsia="Microsoft YaHei"/>
          <w:color w:val="1E2E40"/>
          <w:sz w:val="24"/>
          <w:szCs w:val="24"/>
        </w:rPr>
        <w:t xml:space="preserve">Sistem harus mengevaluasi kualitas citra input sebelum inferensi dan memberikan peringatan jika kualitas tidak memadai. Metrik kualitas yang harus dinilai meliputi: (1) resolusi (minimal 300 DPI untuk cawan 90mm), (2) fokus/kejelasan (menggunakan Laplacian variance), (3) pencahayaan (histogram analysis), (4) keberadaan cawan agar yang lengkap, dan (5) derajat overlap/occlusion. Jika kualitas citra di bawah ambang batas, sistem harus menolak pemrosesan dan memberikan panduan kepada pengguna untuk mengambil ulang gambar. Fitur ini tidak tersedia pada Interscience dan merupakan peluang diferensiasi.</w:t>
      </w:r>
    </w:p>
    <w:p>
      <w:pPr>
        <w:pStyle w:val="Heading2"/>
        <w:spacing w:after="120" w:before="280" w:line="312"/>
      </w:pPr>
      <w:bookmarkStart w:id="100023" w:name="_Toc100023"/>
      <w:r>
        <w:rPr>
          <w:rFonts w:ascii="Calibri" w:eastAsia="SimHei"/>
          <w:b/>
          <w:bCs/>
          <w:color w:val="1A5276"/>
          <w:sz w:val="28"/>
          <w:szCs w:val="28"/>
        </w:rPr>
        <w:t xml:space="preserve">3.5 FR-05: Analisis dan Pelaporan</w:t>
      </w:r>
      <w:bookmarkEnd w:id="100023"/>
    </w:p>
    <w:p>
      <w:pPr>
        <w:spacing w:after="120" w:line="312"/>
        <w:ind w:firstLine="420"/>
        <w:jc w:val="both"/>
      </w:pPr>
      <w:r>
        <w:rPr>
          <w:rFonts w:ascii="Calibri" w:eastAsia="Microsoft YaHei"/>
          <w:color w:val="1E2E40"/>
          <w:sz w:val="24"/>
          <w:szCs w:val="24"/>
        </w:rPr>
        <w:t xml:space="preserve">Kemampuan analisis dan pembuatan laporan yang komprehensif merupakan kebutuhan kritis untuk laboratorium yang beroperasi di bawah regulasi GMP/GLP. Interscience menyediakan perangkat lunak scan^SOFT dengan kapabilitas pelaporan yang cukup lengkap, dan PlateVisionAI harus menyamai atau mengungguli fitur-fitur tersebut.</w:t>
      </w:r>
    </w:p>
    <w:p>
      <w:pPr>
        <w:pStyle w:val="Heading3"/>
        <w:spacing w:after="100" w:before="200" w:line="312"/>
      </w:pPr>
      <w:bookmarkStart w:id="100024" w:name="_Toc100024"/>
      <w:r>
        <w:rPr>
          <w:rFonts w:ascii="Calibri" w:eastAsia="SimHei"/>
          <w:b/>
          <w:bCs/>
          <w:color w:val="1A5276"/>
          <w:sz w:val="24"/>
          <w:szCs w:val="24"/>
        </w:rPr>
        <w:t xml:space="preserve">3.5.1 FR-05.1: Laporan Analisis PDF</w:t>
      </w:r>
      <w:bookmarkEnd w:id="100024"/>
    </w:p>
    <w:p>
      <w:pPr>
        <w:spacing w:after="120" w:line="312"/>
        <w:ind w:firstLine="420"/>
        <w:jc w:val="both"/>
      </w:pPr>
      <w:r>
        <w:rPr>
          <w:rFonts w:ascii="Calibri" w:eastAsia="Microsoft YaHei"/>
          <w:color w:val="1E2E40"/>
          <w:sz w:val="24"/>
          <w:szCs w:val="24"/>
        </w:rPr>
        <w:t xml:space="preserve">Sistem harus menghasilkan laporan analisis dalam format PDF yang mencakup: (1) gambar cawan dengan anotasi deteksi (bounding box + label + confidence), (2) ringkasan penghitungan (total koloni, koloni per kategori, kontaminan terdeteksi), (3) histogram distribusi ukuran koloni, (4) metadata analisis (timestamp, model version, parameter inferensi), dan (5) informasi operator dan laboratorium. Laporan harus dapat dikustomisasi dengan logo institusi, header/footer, dan format yang sesuai dengan template laboratorium. Interscience menyediakan pelaporan serupa, namun PlateVisionAI harus menawarkan fleksibilitas template yang lebih besar dan dukungan multi-bahasa (minimal Bahasa Indonesia dan Bahasa Inggris).</w:t>
      </w:r>
    </w:p>
    <w:p>
      <w:pPr>
        <w:pStyle w:val="Heading3"/>
        <w:spacing w:after="100" w:before="200" w:line="312"/>
      </w:pPr>
      <w:bookmarkStart w:id="100025" w:name="_Toc100025"/>
      <w:r>
        <w:rPr>
          <w:rFonts w:ascii="Calibri" w:eastAsia="SimHei"/>
          <w:b/>
          <w:bCs/>
          <w:color w:val="1A5276"/>
          <w:sz w:val="24"/>
          <w:szCs w:val="24"/>
        </w:rPr>
        <w:t xml:space="preserve">3.5.2 FR-05.2: Ekspor Data Tabular</w:t>
      </w:r>
      <w:bookmarkEnd w:id="100025"/>
    </w:p>
    <w:p>
      <w:pPr>
        <w:spacing w:after="120" w:line="312"/>
        <w:ind w:firstLine="420"/>
        <w:jc w:val="both"/>
      </w:pPr>
      <w:r>
        <w:rPr>
          <w:rFonts w:ascii="Calibri" w:eastAsia="Microsoft YaHei"/>
          <w:color w:val="1E2E40"/>
          <w:sz w:val="24"/>
          <w:szCs w:val="24"/>
        </w:rPr>
        <w:t xml:space="preserve">Sistem harus menyediakan ekspor data dalam format Excel (XLSX) dan CSV yang berisi: (1) detail setiap deteksi (koordinat, kelas, confidence, ukuran), (2) ringkasan per cawan, (3) tren analisis serial (jika data time-series tersedia), dan (4) data statistik deskriptif (mean, median, SD, CV). Format ekspor harus kompatibel dengan LIMS (Laboratory Information Management System) populer seperti LabWare, STARLIMS, dan SampleManager untuk memudahkan integrasi alur kerja laboratorium.</w:t>
      </w:r>
    </w:p>
    <w:p>
      <w:pPr>
        <w:pStyle w:val="Heading3"/>
        <w:spacing w:after="100" w:before="200" w:line="312"/>
      </w:pPr>
      <w:bookmarkStart w:id="100026" w:name="_Toc100026"/>
      <w:r>
        <w:rPr>
          <w:rFonts w:ascii="Calibri" w:eastAsia="SimHei"/>
          <w:b/>
          <w:bCs/>
          <w:color w:val="1A5276"/>
          <w:sz w:val="24"/>
          <w:szCs w:val="24"/>
        </w:rPr>
        <w:t xml:space="preserve">3.5.3 FR-05.3: Dashboard Analitik Real-time</w:t>
      </w:r>
      <w:bookmarkEnd w:id="100026"/>
    </w:p>
    <w:p>
      <w:pPr>
        <w:spacing w:after="120" w:line="312"/>
        <w:ind w:firstLine="420"/>
        <w:jc w:val="both"/>
      </w:pPr>
      <w:r>
        <w:rPr>
          <w:rFonts w:ascii="Calibri" w:eastAsia="Microsoft YaHei"/>
          <w:color w:val="1E2E40"/>
          <w:sz w:val="24"/>
          <w:szCs w:val="24"/>
        </w:rPr>
        <w:t xml:space="preserve">Sistem harus menyediakan dashboard yang menampilkan metrik operasional secara real-time, termasuk: (1) jumlah cawan yang diproses per hari/minggu/bulan, (2) distribusi hasil penghitungan, (3) tren akurasi model dari waktu ke waktu, (4) statistik koreksi manual (sebagai proxy untuk model accuracy drift), dan (5) alert untuk anomali (misalnya peningkatan mendadak koreksi manual yang mengindikasikan degradasi model). Dashboard ini merupakan fitur diferensiasi yang tidak tersedia pada Interscience dan bernilai tinggi untuk manajemen laboratorium.</w:t>
      </w:r>
    </w:p>
    <w:p>
      <w:pPr>
        <w:pStyle w:val="Heading2"/>
        <w:spacing w:after="120" w:before="280" w:line="312"/>
      </w:pPr>
      <w:bookmarkStart w:id="100027" w:name="_Toc100027"/>
      <w:r>
        <w:rPr>
          <w:rFonts w:ascii="Calibri" w:eastAsia="SimHei"/>
          <w:b/>
          <w:bCs/>
          <w:color w:val="1A5276"/>
          <w:sz w:val="28"/>
          <w:szCs w:val="28"/>
        </w:rPr>
        <w:t xml:space="preserve">3.6 FR-06: Manajemen Data dan Audit Trail</w:t>
      </w:r>
      <w:bookmarkEnd w:id="100027"/>
    </w:p>
    <w:p>
      <w:pPr>
        <w:spacing w:after="120" w:line="312"/>
        <w:ind w:firstLine="420"/>
        <w:jc w:val="both"/>
      </w:pPr>
      <w:r>
        <w:rPr>
          <w:rFonts w:ascii="Calibri" w:eastAsia="Microsoft YaHei"/>
          <w:color w:val="1E2E40"/>
          <w:sz w:val="24"/>
          <w:szCs w:val="24"/>
        </w:rPr>
        <w:t xml:space="preserve">Kepatuhan terhadap regulasi GMP/GLP mensyaratkan manajemen data yang ketat dan audit trail yang tidak dapat diubah (immutable). Ini merupakan persyaratan wajib untuk laboratorium farmasi dan klinis, dan merupakan area di mana Interscience memiliki keunggulan melalui sertifikasi 21 CFR Part 11 pada produknya.</w:t>
      </w:r>
    </w:p>
    <w:p>
      <w:pPr>
        <w:pStyle w:val="Heading3"/>
        <w:spacing w:after="100" w:before="200" w:line="312"/>
      </w:pPr>
      <w:bookmarkStart w:id="100028" w:name="_Toc100028"/>
      <w:r>
        <w:rPr>
          <w:rFonts w:ascii="Calibri" w:eastAsia="SimHei"/>
          <w:b/>
          <w:bCs/>
          <w:color w:val="1A5276"/>
          <w:sz w:val="24"/>
          <w:szCs w:val="24"/>
        </w:rPr>
        <w:t xml:space="preserve">3.6.1 FR-06.1: Audit Trail yang Tidak Dapat Diubah</w:t>
      </w:r>
      <w:bookmarkEnd w:id="100028"/>
    </w:p>
    <w:p>
      <w:pPr>
        <w:spacing w:after="120" w:line="312"/>
        <w:ind w:firstLine="420"/>
        <w:jc w:val="both"/>
      </w:pPr>
      <w:r>
        <w:rPr>
          <w:rFonts w:ascii="Calibri" w:eastAsia="Microsoft YaHei"/>
          <w:color w:val="1E2E40"/>
          <w:sz w:val="24"/>
          <w:szCs w:val="24"/>
        </w:rPr>
        <w:t xml:space="preserve">Sistem harus mencatat seluruh aktivitas dalam audit trail yang tidak dapat diubah (immutable log), yang meliputi: (1) siapa yang melakukan analisis dan kapan, (2) parameter inferensi yang digunakan, (3) hasil deteksi dan penghitungan, (4) koreksi manual yang dilakukan beserta alasan, (5) ekspor laporan dan data, dan (6) perubahan konfigurasi sistem. Audit trail harus memenuhi persyaratan 21 CFR Part 11 (electronic records, electronic signatures) dan EU Annex 11, yang merupakan standar yang juga dipenuhi oleh Interscience. Setiap entri audit trail harus ditandatangani secara digital (digital signature) untuk menjamin integritas.</w:t>
      </w:r>
    </w:p>
    <w:p>
      <w:pPr>
        <w:pStyle w:val="Heading3"/>
        <w:spacing w:after="100" w:before="200" w:line="312"/>
      </w:pPr>
      <w:bookmarkStart w:id="100029" w:name="_Toc100029"/>
      <w:r>
        <w:rPr>
          <w:rFonts w:ascii="Calibri" w:eastAsia="SimHei"/>
          <w:b/>
          <w:bCs/>
          <w:color w:val="1A5276"/>
          <w:sz w:val="24"/>
          <w:szCs w:val="24"/>
        </w:rPr>
        <w:t xml:space="preserve">3.6.2 FR-06.2: Penyimpanan dan Retensi Data</w:t>
      </w:r>
      <w:bookmarkEnd w:id="100029"/>
    </w:p>
    <w:p>
      <w:pPr>
        <w:spacing w:after="120" w:line="312"/>
        <w:ind w:firstLine="420"/>
        <w:jc w:val="both"/>
      </w:pPr>
      <w:r>
        <w:rPr>
          <w:rFonts w:ascii="Calibri" w:eastAsia="Microsoft YaHei"/>
          <w:color w:val="1E2E40"/>
          <w:sz w:val="24"/>
          <w:szCs w:val="24"/>
        </w:rPr>
        <w:t xml:space="preserve">Sistem harus menyimpan seluruh data analisis (gambar asli, hasil inferensi, laporan, audit trail) selama minimal 5 tahun atau sesuai kebijakan retensi institusi. Data harus disimpan dalam format yang mendukung retrieval cepat dan verifikasi integritas (checksum). Kapasitas penyimpanan harus dapat diskalakan untuk mengakomodasi volume laboratorium besar (minimal 10.000 cawan per bulan dengan retensi 5 tahun). Interscience menyediakan manajemen data melalui database internal, dan PlateVisionAI harus menyamai kapabilitas ini dengan tambahan dukungan cloud storage untuk skalabilitas dan disaster recovery.</w:t>
      </w:r>
    </w:p>
    <w:p>
      <w:pPr>
        <w:pStyle w:val="Heading3"/>
        <w:spacing w:after="100" w:before="200" w:line="312"/>
      </w:pPr>
      <w:bookmarkStart w:id="100030" w:name="_Toc100030"/>
      <w:r>
        <w:rPr>
          <w:rFonts w:ascii="Calibri" w:eastAsia="SimHei"/>
          <w:b/>
          <w:bCs/>
          <w:color w:val="1A5276"/>
          <w:sz w:val="24"/>
          <w:szCs w:val="24"/>
        </w:rPr>
        <w:t xml:space="preserve">3.6.3 FR-06.3: Backup dan Disaster Recovery</w:t>
      </w:r>
      <w:bookmarkEnd w:id="100030"/>
    </w:p>
    <w:p>
      <w:pPr>
        <w:spacing w:after="120" w:line="312"/>
        <w:ind w:firstLine="420"/>
        <w:jc w:val="both"/>
      </w:pPr>
      <w:r>
        <w:rPr>
          <w:rFonts w:ascii="Calibri" w:eastAsia="Microsoft YaHei"/>
          <w:color w:val="1E2E40"/>
          <w:sz w:val="24"/>
          <w:szCs w:val="24"/>
        </w:rPr>
        <w:t xml:space="preserve">Sistem harus menyediakan mekanisme backup otomatis dengan frekuensi minimal harian dan retention period minimal 30 hari untuk backup harian serta 1 tahun untuk backup mingguan. Recovery Point Objective (RPO) harus kurang dari 24 jam dan Recovery Time Objective (RTO) harus kurang dari 4 jam. Prosedur disaster recovery harus diuji minimal setiap 6 bulan dan hasil pengujian didokumentasikan. Backup harus dienkripsi dan disimpan di lokasi yang terpisah secara geografis dari server utama (off-site atau cloud region berbeda).</w:t>
      </w:r>
    </w:p>
    <w:p>
      <w:pPr>
        <w:pStyle w:val="Heading2"/>
        <w:spacing w:after="120" w:before="280" w:line="312"/>
      </w:pPr>
      <w:bookmarkStart w:id="100031" w:name="_Toc100031"/>
      <w:r>
        <w:rPr>
          <w:rFonts w:ascii="Calibri" w:eastAsia="SimHei"/>
          <w:b/>
          <w:bCs/>
          <w:color w:val="1A5276"/>
          <w:sz w:val="28"/>
          <w:szCs w:val="28"/>
        </w:rPr>
        <w:t xml:space="preserve">3.7 FR-07: Integrasi Sistem dan Interoperabilitas</w:t>
      </w:r>
      <w:bookmarkEnd w:id="100031"/>
    </w:p>
    <w:p>
      <w:pPr>
        <w:spacing w:after="120" w:line="312"/>
        <w:ind w:firstLine="420"/>
        <w:jc w:val="both"/>
      </w:pPr>
      <w:r>
        <w:rPr>
          <w:rFonts w:ascii="Calibri" w:eastAsia="Microsoft YaHei"/>
          <w:color w:val="1E2E40"/>
          <w:sz w:val="24"/>
          <w:szCs w:val="24"/>
        </w:rPr>
        <w:t xml:space="preserve">Laboratorium modern mengoperasikan berbagai sistem informasi yang harus saling terintegrasi. Interscience menyediakan integrasi melalui perangkat lunak scan^SOFT dan protokol standar industri, dan PlateVisionAI harus menyamai atau mengungguli kapabilitas integrasi ini.</w:t>
      </w:r>
    </w:p>
    <w:p>
      <w:pPr>
        <w:pStyle w:val="Heading3"/>
        <w:spacing w:after="100" w:before="200" w:line="312"/>
      </w:pPr>
      <w:bookmarkStart w:id="100032" w:name="_Toc100032"/>
      <w:r>
        <w:rPr>
          <w:rFonts w:ascii="Calibri" w:eastAsia="SimHei"/>
          <w:b/>
          <w:bCs/>
          <w:color w:val="1A5276"/>
          <w:sz w:val="24"/>
          <w:szCs w:val="24"/>
        </w:rPr>
        <w:t xml:space="preserve">3.7.1 FR-07.1: REST API untuk Integrasi LIMS</w:t>
      </w:r>
      <w:bookmarkEnd w:id="100032"/>
    </w:p>
    <w:p>
      <w:pPr>
        <w:spacing w:after="120" w:line="312"/>
        <w:ind w:firstLine="420"/>
        <w:jc w:val="both"/>
      </w:pPr>
      <w:r>
        <w:rPr>
          <w:rFonts w:ascii="Calibri" w:eastAsia="Microsoft YaHei"/>
          <w:color w:val="1E2E40"/>
          <w:sz w:val="24"/>
          <w:szCs w:val="24"/>
        </w:rPr>
        <w:t xml:space="preserve">Sistem harus menyediakan REST API yang komprehensif untuk integrasi dengan LIMS dan sistem eksternal lainnya. API harus mendukung: (1) submit gambar untuk analisis, (2) retrieve hasil analisis, (3) mengelola konfigurasi inferensi, (4) mengakses audit trail, dan (5) mengelola pengguna dan hak akses. API harus mengikuti standar OpenAPI 3.0 dengan dokumentasi yang lengkap, rate limiting untuk mencegah penyalahgunaan, dan autentikasi berbasis token (OAuth 2.0 atau API key). Versi API harus dikelola secara eksplisit (versioning) untuk menjamin backward compatibility.</w:t>
      </w:r>
    </w:p>
    <w:p>
      <w:pPr>
        <w:pStyle w:val="Heading3"/>
        <w:spacing w:after="100" w:before="200" w:line="312"/>
      </w:pPr>
      <w:bookmarkStart w:id="100033" w:name="_Toc100033"/>
      <w:r>
        <w:rPr>
          <w:rFonts w:ascii="Calibri" w:eastAsia="SimHei"/>
          <w:b/>
          <w:bCs/>
          <w:color w:val="1A5276"/>
          <w:sz w:val="24"/>
          <w:szCs w:val="24"/>
        </w:rPr>
        <w:t xml:space="preserve">3.7.2 FR-07.2: Integrasi Hardware</w:t>
      </w:r>
      <w:bookmarkEnd w:id="100033"/>
    </w:p>
    <w:p>
      <w:pPr>
        <w:spacing w:after="120" w:line="312"/>
        <w:ind w:firstLine="420"/>
        <w:jc w:val="both"/>
      </w:pPr>
      <w:r>
        <w:rPr>
          <w:rFonts w:ascii="Calibri" w:eastAsia="Microsoft YaHei"/>
          <w:color w:val="1E2E40"/>
          <w:sz w:val="24"/>
          <w:szCs w:val="24"/>
        </w:rPr>
        <w:t xml:space="preserve">Sistem harus mendukung integrasi dengan perangkat keras laboratorium melalui: (1) protokol TWAIN/WIA untuk scanner, (2) ONVIF dan RTSP untuk kamera IP, (3) USB Video Class (UVC) untuk kamera USB, dan (4) GPIO trigger untuk automated workflow (misalnya trigger capture dari conveyor belt). Dukungan hardware ini harus menyediakan auto-detection dan konfigurasi plug-and-play yang memudahkan setup. Interscience mengandalkan kamera proprietary, sementara PlateVisionAI harus mendukung hardware open-standards untuk fleksibilitas yang lebih besar.</w:t>
      </w:r>
    </w:p>
    <w:p>
      <w:pPr>
        <w:pStyle w:val="Heading3"/>
        <w:spacing w:after="100" w:before="200" w:line="312"/>
      </w:pPr>
      <w:bookmarkStart w:id="100034" w:name="_Toc100034"/>
      <w:r>
        <w:rPr>
          <w:rFonts w:ascii="Calibri" w:eastAsia="SimHei"/>
          <w:b/>
          <w:bCs/>
          <w:color w:val="1A5276"/>
          <w:sz w:val="24"/>
          <w:szCs w:val="24"/>
        </w:rPr>
        <w:t xml:space="preserve">3.7.3 FR-07.3: Webhook dan Event Notification</w:t>
      </w:r>
      <w:bookmarkEnd w:id="100034"/>
    </w:p>
    <w:p>
      <w:pPr>
        <w:spacing w:after="120" w:line="312"/>
        <w:ind w:firstLine="420"/>
        <w:jc w:val="both"/>
      </w:pPr>
      <w:r>
        <w:rPr>
          <w:rFonts w:ascii="Calibri" w:eastAsia="Microsoft YaHei"/>
          <w:color w:val="1E2E40"/>
          <w:sz w:val="24"/>
          <w:szCs w:val="24"/>
        </w:rPr>
        <w:t xml:space="preserve">Sistem harus mendukung webhook untuk memberikan notifikasi real-time kepada sistem eksternal ketika: (1) analisis selesai, (2) hasil memerlukan review manual (confidence score rendah), (3) anomali terdeteksi (drift, error rate tinggi), dan (4) laporan berhasil atau gagal diekspor. Payload webhook harus mengikuti format standar (JSON) dan mendukung retry logic dengan exponential backoff untuk menangani kegagalan sementara pada sistem penerima.</w:t>
      </w:r>
    </w:p>
    <w:p>
      <w:pPr>
        <w:pStyle w:val="Heading2"/>
        <w:spacing w:after="120" w:before="280" w:line="312"/>
      </w:pPr>
      <w:bookmarkStart w:id="100035" w:name="_Toc100035"/>
      <w:r>
        <w:rPr>
          <w:rFonts w:ascii="Calibri" w:eastAsia="SimHei"/>
          <w:b/>
          <w:bCs/>
          <w:color w:val="1A5276"/>
          <w:sz w:val="28"/>
          <w:szCs w:val="28"/>
        </w:rPr>
        <w:t xml:space="preserve">3.8 FR-08: Antarmuka Pengguna</w:t>
      </w:r>
      <w:bookmarkEnd w:id="100035"/>
    </w:p>
    <w:p>
      <w:pPr>
        <w:spacing w:after="120" w:line="312"/>
        <w:ind w:firstLine="420"/>
        <w:jc w:val="both"/>
      </w:pPr>
      <w:r>
        <w:rPr>
          <w:rFonts w:ascii="Calibri" w:eastAsia="Microsoft YaHei"/>
          <w:color w:val="1E2E40"/>
          <w:sz w:val="24"/>
          <w:szCs w:val="24"/>
        </w:rPr>
        <w:t xml:space="preserve">Antarmuka pengguna yang intuitif dan efisien merupakan faktor krusial untuk adopsi di laboratorium. Interscience dikenal dengan antarmuka scan^SOFT yang relatif mudah digunakan, dan PlateVisionAI harus menyamai atau mengungguli pengalaman pengguna tersebut dengan memanfaatkan teknologi web modern.</w:t>
      </w:r>
    </w:p>
    <w:p>
      <w:pPr>
        <w:pStyle w:val="Heading3"/>
        <w:spacing w:after="100" w:before="200" w:line="312"/>
      </w:pPr>
      <w:bookmarkStart w:id="100036" w:name="_Toc100036"/>
      <w:r>
        <w:rPr>
          <w:rFonts w:ascii="Calibri" w:eastAsia="SimHei"/>
          <w:b/>
          <w:bCs/>
          <w:color w:val="1A5276"/>
          <w:sz w:val="24"/>
          <w:szCs w:val="24"/>
        </w:rPr>
        <w:t xml:space="preserve">3.8.1 FR-08.1: Antarmuka Web Responsif</w:t>
      </w:r>
      <w:bookmarkEnd w:id="100036"/>
    </w:p>
    <w:p>
      <w:pPr>
        <w:spacing w:after="120" w:line="312"/>
        <w:ind w:firstLine="420"/>
        <w:jc w:val="both"/>
      </w:pPr>
      <w:r>
        <w:rPr>
          <w:rFonts w:ascii="Calibri" w:eastAsia="Microsoft YaHei"/>
          <w:color w:val="1E2E40"/>
          <w:sz w:val="24"/>
          <w:szCs w:val="24"/>
        </w:rPr>
        <w:t xml:space="preserve">Sistem harus menyediakan antarmuka web yang responsif dan dapat diakses dari perangkat desktop (minimal 1280x720), tablet (10+ inch), dan smartphone. Antarmuka harus mendukung operasi utama: (1) upload/capture gambar cawan, (2) menjalankan inferensi dengan parameter yang dapat disesuaikan (confidence threshold, IoU threshold), (3) visualisasi hasil deteksi dengan interaksi (zoom, pan, klik pada deteksi individual untuk detail), (4) koreksi manual (tambah/hapus deteksi), dan (5) ekspor laporan. Antarmuka saat ini berbasis Gradio yang cocok untuk prototyping namun perlu diganti dengan production-grade web app (React/Next.js) untuk pengalaman pengguna yang profesional.</w:t>
      </w:r>
    </w:p>
    <w:p>
      <w:pPr>
        <w:pStyle w:val="Heading3"/>
        <w:spacing w:after="100" w:before="200" w:line="312"/>
      </w:pPr>
      <w:bookmarkStart w:id="100037" w:name="_Toc100037"/>
      <w:r>
        <w:rPr>
          <w:rFonts w:ascii="Calibri" w:eastAsia="SimHei"/>
          <w:b/>
          <w:bCs/>
          <w:color w:val="1A5276"/>
          <w:sz w:val="24"/>
          <w:szCs w:val="24"/>
        </w:rPr>
        <w:t xml:space="preserve">3.8.2 FR-08.3: Manajemen Sampel dan Batch</w:t>
      </w:r>
      <w:bookmarkEnd w:id="100037"/>
    </w:p>
    <w:p>
      <w:pPr>
        <w:spacing w:after="120" w:line="312"/>
        <w:ind w:firstLine="420"/>
        <w:jc w:val="both"/>
      </w:pPr>
      <w:r>
        <w:rPr>
          <w:rFonts w:ascii="Calibri" w:eastAsia="Microsoft YaHei"/>
          <w:color w:val="1E2E40"/>
          <w:sz w:val="24"/>
          <w:szCs w:val="24"/>
        </w:rPr>
        <w:t xml:space="preserve">Sistem harus menyediakan fitur manajemen sampel yang memungkinkan pengguna untuk: (1) membuat dan mengelola batch analisis, (2) memberikan metadata pada setiap sampel (ID sampel, jenis media, tanggal inkubasi, nomor dilusi, operator), (3) melacak status analisis setiap sampel (pending, in-progress, completed, reviewed, approved), dan (4) mengelompokkan sampel berdasarkan proyek, klien, atau batch produksi. Fitur ini sepadan dengan kapabilitas manajemen proyek pada Interscience scan^SOFT dan merupakan kebutuhan fundamental untuk alur kerja laboratorium yang terstruktur.</w:t>
      </w:r>
    </w:p>
    <w:p>
      <w:pPr>
        <w:pStyle w:val="Heading3"/>
        <w:spacing w:after="100" w:before="200" w:line="312"/>
      </w:pPr>
      <w:bookmarkStart w:id="100038" w:name="_Toc100038"/>
      <w:r>
        <w:rPr>
          <w:rFonts w:ascii="Calibri" w:eastAsia="SimHei"/>
          <w:b/>
          <w:bCs/>
          <w:color w:val="1A5276"/>
          <w:sz w:val="24"/>
          <w:szCs w:val="24"/>
        </w:rPr>
        <w:t xml:space="preserve">3.8.3 FR-08.4: Visualisasi Hasil Interaktif</w:t>
      </w:r>
      <w:bookmarkEnd w:id="100038"/>
    </w:p>
    <w:p>
      <w:pPr>
        <w:spacing w:after="120" w:line="312"/>
        <w:ind w:firstLine="420"/>
        <w:jc w:val="both"/>
      </w:pPr>
      <w:r>
        <w:rPr>
          <w:rFonts w:ascii="Calibri" w:eastAsia="Microsoft YaHei"/>
          <w:color w:val="1E2E40"/>
          <w:sz w:val="24"/>
          <w:szCs w:val="24"/>
        </w:rPr>
        <w:t xml:space="preserve">Sistem harus menyediakan visualisasi hasil deteksi yang interaktif dan informatif, meliputi: (1) overlay bounding box berwarna per kelas pada gambar asli dengan opacity yang dapat disesuaikan, (2) tooltip detail saat hover pada deteksi individual (kelas, confidence, ukuran, koordinat), (3) mode perbandingan side-by-side antara gambar asli dan hasil deteksi, (4) heatmap kepadatan koloni untuk analisis distribusi spasial, dan (5) timeline view untuk analisis time-series (pertumbuhan koloni dari waktu ke waktu). Visualisasi interaktif ini merupakan keunggulan dibandingkan Interscience yang menyediakan visualisasi statis.</w:t>
      </w:r>
    </w:p>
    <w:p>
      <w:pPr>
        <w:pStyle w:val="Heading1"/>
        <w:spacing w:after="160" w:before="360" w:line="312"/>
      </w:pPr>
      <w:bookmarkStart w:id="100039" w:name="_Toc100039"/>
      <w:r>
        <w:rPr>
          <w:rFonts w:ascii="Calibri" w:eastAsia="SimHei"/>
          <w:b/>
          <w:bCs/>
          <w:color w:val="1A5276"/>
          <w:sz w:val="32"/>
          <w:szCs w:val="32"/>
        </w:rPr>
        <w:t xml:space="preserve">4. Persyaratan Non-Fungsional</w:t>
      </w:r>
      <w:bookmarkEnd w:id="100039"/>
    </w:p>
    <w:p>
      <w:pPr>
        <w:spacing w:after="120" w:line="312"/>
        <w:ind w:firstLine="420"/>
        <w:jc w:val="both"/>
      </w:pPr>
      <w:r>
        <w:rPr>
          <w:rFonts w:ascii="Calibri" w:eastAsia="Microsoft YaHei"/>
          <w:color w:val="1E2E40"/>
          <w:sz w:val="24"/>
          <w:szCs w:val="24"/>
        </w:rPr>
        <w:t xml:space="preserve">Persyaratan non-fungsional mendefinisikan atribut kualitas dan batasan operasional yang harus dipenuhi oleh PlateVisionAI. Atribut-atribut ini menentukan seberapa baik sistem menjalankan fungsinya, dan merupakan pembeda antara sistem yang berfungsi secara teknis dengan sistem yang siap untuk deployment di lingkungan produksi laboratorium.</w:t>
      </w:r>
    </w:p>
    <w:p>
      <w:pPr>
        <w:pStyle w:val="Heading2"/>
        <w:spacing w:after="120" w:before="280" w:line="312"/>
      </w:pPr>
      <w:bookmarkStart w:id="100040" w:name="_Toc100040"/>
      <w:r>
        <w:rPr>
          <w:rFonts w:ascii="Calibri" w:eastAsia="SimHei"/>
          <w:b/>
          <w:bCs/>
          <w:color w:val="1A5276"/>
          <w:sz w:val="28"/>
          <w:szCs w:val="28"/>
        </w:rPr>
        <w:t xml:space="preserve">4.1 NFR-01: Performa dan Kecepatan</w:t>
      </w:r>
      <w:bookmarkEnd w:id="100040"/>
    </w:p>
    <w:p>
      <w:pPr>
        <w:spacing w:after="120" w:line="312"/>
        <w:ind w:firstLine="420"/>
        <w:jc w:val="both"/>
      </w:pPr>
      <w:r>
        <w:rPr>
          <w:rFonts w:ascii="Calibri" w:eastAsia="Microsoft YaHei"/>
          <w:color w:val="1E2E40"/>
          <w:sz w:val="24"/>
          <w:szCs w:val="24"/>
        </w:rPr>
        <w:t xml:space="preserve">Performa inferensi merupakan faktor kritis untuk adopsi di laboratorium ber-throughput tinggi. Interscience scan 1200 mengklaim kemampuan memproses hingga 1200 cawan per jam, dan PlateVisionAI harus mencapai throughput yang kompetitif dengan memanfaatkan optimasi GPU dan batch processing.</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cantSplit/>
          <w:tblHeader/>
        </w:trPr>
        <w:tc>
          <w:tcPr>
            <w:tcW w:type="pct" w:w="35%"/>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Metrik</w:t>
            </w:r>
          </w:p>
        </w:tc>
        <w:tc>
          <w:tcPr>
            <w:tcW w:type="pct" w:w="35%"/>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Target PlateVisionAI</w:t>
            </w:r>
          </w:p>
        </w:tc>
        <w:tc>
          <w:tcPr>
            <w:tcW w:type="pct" w:w="3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Benchmark Interscience</w:t>
            </w:r>
          </w:p>
        </w:tc>
      </w:tr>
      <w:tr>
        <w:trPr>
          <w:cantSplit/>
        </w:trPr>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Latensi inferensi per cawan</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&lt; 2 detik (GPU)</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1-3 detik (proprietary HW)</w:t>
            </w:r>
          </w:p>
        </w:tc>
      </w:tr>
      <w:tr>
        <w:trPr>
          <w:cantSplit/>
        </w:trPr>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Throughput (cawan/jam)</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&gt; 500 (batch mode)</w:t>
            </w:r>
          </w:p>
        </w:tc>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300-1200 (varian model)</w:t>
            </w:r>
          </w:p>
        </w:tc>
      </w:tr>
      <w:tr>
        <w:trPr>
          <w:cantSplit/>
        </w:trPr>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Warm-up model</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&lt; 30 detik</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&lt; 10 detik</w:t>
            </w:r>
          </w:p>
        </w:tc>
      </w:tr>
      <w:tr>
        <w:trPr>
          <w:cantSplit/>
        </w:trPr>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Waktu rendering UI</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&lt; 500ms (P95)</w:t>
            </w:r>
          </w:p>
        </w:tc>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Real-time (native app)</w:t>
            </w:r>
          </w:p>
        </w:tc>
      </w:tr>
      <w:tr>
        <w:trPr>
          <w:cantSplit/>
        </w:trPr>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Konkurensi pengguna</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50 simultaneous users</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Single workstation</w:t>
            </w:r>
          </w:p>
        </w:tc>
      </w:tr>
    </w:tbl>
    <w:p>
      <w:pPr>
        <w:keepNext/>
        <w:spacing w:after="200" w:before="120" w:line="312"/>
        <w:jc w:val="center"/>
      </w:pPr>
      <w:r>
        <w:rPr>
          <w:rFonts w:ascii="Calibri" w:eastAsia="Microsoft YaHei"/>
          <w:i/>
          <w:iCs/>
          <w:color w:val="4A6580"/>
          <w:sz w:val="21"/>
          <w:szCs w:val="21"/>
        </w:rPr>
        <w:t xml:space="preserve">Tabel 4.1: Target Performa vs Benchmark Interscience</w:t>
      </w:r>
    </w:p>
    <w:p>
      <w:pPr>
        <w:spacing w:after="120" w:line="312"/>
        <w:ind w:firstLine="420"/>
        <w:jc w:val="both"/>
      </w:pPr>
      <w:r>
        <w:rPr>
          <w:rFonts w:ascii="Calibri" w:eastAsia="Microsoft YaHei"/>
          <w:color w:val="1E2E40"/>
          <w:sz w:val="24"/>
          <w:szCs w:val="24"/>
        </w:rPr>
        <w:t xml:space="preserve">Untuk mencapai target performa tersebut, sistem harus mengimplementasikan: (1) model optimization melalui TensorRT atau ONNX Runtime untuk inferensi GPU yang efisien, (2) batch processing untuk analisis multiple cawan secara paralel, (3) caching model di GPU memory untuk menghindari reload, (4) lazy loading untuk komponen UI yang berat, dan (5) CDN untuk static assets guna mempercepat loading halaman web. Monitoring performa harus diimplementasikan menggunakan Prometheus/Grafana dengan alerting pada degradasi performa.</w:t>
      </w:r>
    </w:p>
    <w:p>
      <w:pPr>
        <w:pStyle w:val="Heading2"/>
        <w:spacing w:after="120" w:before="280" w:line="312"/>
      </w:pPr>
      <w:bookmarkStart w:id="100041" w:name="_Toc100041"/>
      <w:r>
        <w:rPr>
          <w:rFonts w:ascii="Calibri" w:eastAsia="SimHei"/>
          <w:b/>
          <w:bCs/>
          <w:color w:val="1A5276"/>
          <w:sz w:val="28"/>
          <w:szCs w:val="28"/>
        </w:rPr>
        <w:t xml:space="preserve">4.2 NFR-02: Akurasi dan Reliabilitas</w:t>
      </w:r>
      <w:bookmarkEnd w:id="100041"/>
    </w:p>
    <w:p>
      <w:pPr>
        <w:spacing w:after="120" w:line="312"/>
        <w:ind w:firstLine="420"/>
        <w:jc w:val="both"/>
      </w:pPr>
      <w:r>
        <w:rPr>
          <w:rFonts w:ascii="Calibri" w:eastAsia="Microsoft YaHei"/>
          <w:color w:val="1E2E40"/>
          <w:sz w:val="24"/>
          <w:szCs w:val="24"/>
        </w:rPr>
        <w:t xml:space="preserve">Akurasi model dan reliabilitas sistem secara keseluruhan merupakan fondasi kepercayaan dari pengguna laboratorium. Interscience mengklaim akurasi penghitungan yang sebanding dengan penghitungan manual, dan PlateVisionAI harus mencapai standar yang sama dengan dokumentasi validasi yang transparan.</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cantSplit/>
          <w:tblHeader/>
        </w:trPr>
        <w:tc>
          <w:tcPr>
            <w:tcW w:type="pct" w:w="35%"/>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Metrik</w:t>
            </w:r>
          </w:p>
        </w:tc>
        <w:tc>
          <w:tcPr>
            <w:tcW w:type="pct" w:w="25%"/>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Target</w:t>
            </w:r>
          </w:p>
        </w:tc>
        <w:tc>
          <w:tcPr>
            <w:tcW w:type="pct" w:w="4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Metode Verifikasi</w:t>
            </w:r>
          </w:p>
        </w:tc>
      </w:tr>
      <w:tr>
        <w:trPr>
          <w:cantSplit/>
        </w:trPr>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Akurasi penghitungan (30-300 CFU)</w:t>
            </w:r>
          </w:p>
        </w:tc>
        <w:tc>
          <w:tcPr>
            <w:tcW w:type="pct" w:w="2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&gt; 98%</w:t>
            </w:r>
          </w:p>
        </w:tc>
        <w:tc>
          <w:tcPr>
            <w:tcW w:type="pct" w:w="4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Comparison study vs 2+ operators</w:t>
            </w:r>
          </w:p>
        </w:tc>
      </w:tr>
      <w:tr>
        <w:trPr>
          <w:cantSplit/>
        </w:trPr>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Precision (reproducibility)</w:t>
            </w:r>
          </w:p>
        </w:tc>
        <w:tc>
          <w:tcPr>
            <w:tcW w:type="pct" w:w="2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CV &lt; 5%</w:t>
            </w:r>
          </w:p>
        </w:tc>
        <w:tc>
          <w:tcPr>
            <w:tcW w:type="pct" w:w="4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Repeated analysis of same image</w:t>
            </w:r>
          </w:p>
        </w:tc>
      </w:tr>
      <w:tr>
        <w:trPr>
          <w:cantSplit/>
        </w:trPr>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False positive rate (artefak)</w:t>
            </w:r>
          </w:p>
        </w:tc>
        <w:tc>
          <w:tcPr>
            <w:tcW w:type="pct" w:w="2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&lt; 3%</w:t>
            </w:r>
          </w:p>
        </w:tc>
        <w:tc>
          <w:tcPr>
            <w:tcW w:type="pct" w:w="4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Analysis of artefact-heavy samples</w:t>
            </w:r>
          </w:p>
        </w:tc>
      </w:tr>
      <w:tr>
        <w:trPr>
          <w:cantSplit/>
        </w:trPr>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False negative rate (koloni)</w:t>
            </w:r>
          </w:p>
        </w:tc>
        <w:tc>
          <w:tcPr>
            <w:tcW w:type="pct" w:w="2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&lt; 2%</w:t>
            </w:r>
          </w:p>
        </w:tc>
        <w:tc>
          <w:tcPr>
            <w:tcW w:type="pct" w:w="4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Analysis of known-count samples</w:t>
            </w:r>
          </w:p>
        </w:tc>
      </w:tr>
      <w:tr>
        <w:trPr>
          <w:cantSplit/>
        </w:trPr>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Model drift detection</w:t>
            </w:r>
          </w:p>
        </w:tc>
        <w:tc>
          <w:tcPr>
            <w:tcW w:type="pct" w:w="2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Weekly automated check</w:t>
            </w:r>
          </w:p>
        </w:tc>
        <w:tc>
          <w:tcPr>
            <w:tcW w:type="pct" w:w="4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Reference dataset benchmark</w:t>
            </w:r>
          </w:p>
        </w:tc>
      </w:tr>
      <w:tr>
        <w:trPr>
          <w:cantSplit/>
        </w:trPr>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Uptime SLA</w:t>
            </w:r>
          </w:p>
        </w:tc>
        <w:tc>
          <w:tcPr>
            <w:tcW w:type="pct" w:w="2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99.5%</w:t>
            </w:r>
          </w:p>
        </w:tc>
        <w:tc>
          <w:tcPr>
            <w:tcW w:type="pct" w:w="4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Monitoring + automated recovery</w:t>
            </w:r>
          </w:p>
        </w:tc>
      </w:tr>
    </w:tbl>
    <w:p>
      <w:pPr>
        <w:keepNext/>
        <w:spacing w:after="200" w:before="120" w:line="312"/>
        <w:jc w:val="center"/>
      </w:pPr>
      <w:r>
        <w:rPr>
          <w:rFonts w:ascii="Calibri" w:eastAsia="Microsoft YaHei"/>
          <w:i/>
          <w:iCs/>
          <w:color w:val="4A6580"/>
          <w:sz w:val="21"/>
          <w:szCs w:val="21"/>
        </w:rPr>
        <w:t xml:space="preserve">Tabel 4.2: Target Akurasi dan Reliabilitas</w:t>
      </w:r>
    </w:p>
    <w:p>
      <w:pPr>
        <w:spacing w:after="120" w:line="312"/>
        <w:ind w:firstLine="420"/>
        <w:jc w:val="both"/>
      </w:pPr>
      <w:r>
        <w:rPr>
          <w:rFonts w:ascii="Calibri" w:eastAsia="Microsoft YaHei"/>
          <w:color w:val="1E2E40"/>
          <w:sz w:val="24"/>
          <w:szCs w:val="24"/>
        </w:rPr>
        <w:t xml:space="preserve">Sistem harus mengimplementasikan mekanisme deteksi model drift yang otomatis, di mana setiap minggu model diuji terhadap dataset referensi yang telah dikurasi. Jika akurasi turun lebih dari 2% dari baseline, sistem harus mengirimkan alert kepada administrator dan menandai hasil analisis dengan warning label. Selain itu, sistem harus menyediakan fungsi A/B testing untuk memungkinkan evaluasi model baru terhadap model produksi tanpa mengganggu operasional.</w:t>
      </w:r>
    </w:p>
    <w:p>
      <w:pPr>
        <w:pStyle w:val="Heading2"/>
        <w:spacing w:after="120" w:before="280" w:line="312"/>
      </w:pPr>
      <w:bookmarkStart w:id="100042" w:name="_Toc100042"/>
      <w:r>
        <w:rPr>
          <w:rFonts w:ascii="Calibri" w:eastAsia="SimHei"/>
          <w:b/>
          <w:bCs/>
          <w:color w:val="1A5276"/>
          <w:sz w:val="28"/>
          <w:szCs w:val="28"/>
        </w:rPr>
        <w:t xml:space="preserve">4.3 NFR-03: Skalabilitas</w:t>
      </w:r>
      <w:bookmarkEnd w:id="100042"/>
    </w:p>
    <w:p>
      <w:pPr>
        <w:spacing w:after="120" w:line="312"/>
        <w:ind w:firstLine="420"/>
        <w:jc w:val="both"/>
      </w:pPr>
      <w:r>
        <w:rPr>
          <w:rFonts w:ascii="Calibri" w:eastAsia="Microsoft YaHei"/>
          <w:color w:val="1E2E40"/>
          <w:sz w:val="24"/>
          <w:szCs w:val="24"/>
        </w:rPr>
        <w:t xml:space="preserve">Sistem harus dapat diskalakan untuk mengakomodasi kebutuhan laboratorium yang bervariasi, dari laboratorium kecil yang memproses 50 cawan per hari hingga laboratorium besar yang memproses lebih dari 1.000 cawan per hari. Arsitektur harus mendukung horizontal scaling untuk komponen inferensi dan vertical scaling untuk komponen database.</w:t>
      </w:r>
    </w:p>
    <w:p>
      <w:pPr>
        <w:spacing w:after="120" w:line="312"/>
        <w:ind w:firstLine="420"/>
        <w:jc w:val="both"/>
      </w:pPr>
      <w:r>
        <w:rPr>
          <w:rFonts w:ascii="Calibri" w:eastAsia="Microsoft YaHei"/>
          <w:color w:val="1E2E40"/>
          <w:sz w:val="24"/>
          <w:szCs w:val="24"/>
        </w:rPr>
        <w:t xml:space="preserve">Komponen inferensi harus stateless dan dapat direplikasi di belakang load balancer. Setiap instance inferensi harus dapat memproses minimal 10 cawan per menit secara independen. Database harus mendukung sharding untuk menangani volume data besar, dan penyimpanan objek (gambar) harus menggunakan S3-compatible storage yang dapat diskalakan tanpa batas. Sistem harus mendukung deployment di berbagai environment: on-premise (single server untuk lab kecil), cluster (untuk lab besar), dan cloud (AWS/GCP/Azure untuk fleksibilitas maksimal).</w:t>
      </w:r>
    </w:p>
    <w:p>
      <w:pPr>
        <w:pStyle w:val="Heading2"/>
        <w:spacing w:after="120" w:before="280" w:line="312"/>
      </w:pPr>
      <w:bookmarkStart w:id="100043" w:name="_Toc100043"/>
      <w:r>
        <w:rPr>
          <w:rFonts w:ascii="Calibri" w:eastAsia="SimHei"/>
          <w:b/>
          <w:bCs/>
          <w:color w:val="1A5276"/>
          <w:sz w:val="28"/>
          <w:szCs w:val="28"/>
        </w:rPr>
        <w:t xml:space="preserve">4.4 NFR-04: Keamanan Informasi</w:t>
      </w:r>
      <w:bookmarkEnd w:id="100043"/>
    </w:p>
    <w:p>
      <w:pPr>
        <w:spacing w:after="120" w:line="312"/>
        <w:ind w:firstLine="420"/>
        <w:jc w:val="both"/>
      </w:pPr>
      <w:r>
        <w:rPr>
          <w:rFonts w:ascii="Calibri" w:eastAsia="Microsoft YaHei"/>
          <w:color w:val="1E2E40"/>
          <w:sz w:val="24"/>
          <w:szCs w:val="24"/>
        </w:rPr>
        <w:t xml:space="preserve">Keamanan informasi merupakan persyaratan kritis mengingat PlateVisionAI menangani data laboratorium yang mungkin mengandung informasi kesehatan pasien (Protected Health Information / PHI) dan data proprietary farmasi. Interscience mengklaim kepatuhan terhadap standar keamanan industri, dan PlateVisionAI harus memenuhi standar yang setara atau lebih tinggi.</w:t>
      </w:r>
    </w:p>
    <w:p>
      <w:pPr>
        <w:spacing w:after="120" w:line="312"/>
        <w:ind w:firstLine="420"/>
        <w:jc w:val="both"/>
      </w:pPr>
      <w:r>
        <w:rPr>
          <w:rFonts w:ascii="Calibri" w:eastAsia="Microsoft YaHei"/>
          <w:color w:val="1E2E40"/>
          <w:sz w:val="24"/>
          <w:szCs w:val="24"/>
        </w:rPr>
        <w:t xml:space="preserve">Sistem harus mengimplementasikan: (1) enkripsi data at rest (AES-256) dan in transit (TLS 1.3), (2) autentikasi multi-faktor (MFA) untuk akses pengguna, (3) Role-Based Access Control (RBAC) dengan granularitas fungsi-level, (4) session management yang aman dengan timeout dan token rotation, (5) input validation dan sanitasi untuk mencegah injection attacks, (6) rate limiting dan DDoS protection pada API endpoints, dan (7) vulnerability scanning otomatis pada setiap release. Selain itu, sistem harus memenuhi persyaratan HIPAA (jika menangani PHI) dan GDPR (untuk pengguna di Eropa), termasuk right to erasure dan data portability.</w:t>
      </w:r>
    </w:p>
    <w:p>
      <w:pPr>
        <w:pStyle w:val="Heading2"/>
        <w:spacing w:after="120" w:before="280" w:line="312"/>
      </w:pPr>
      <w:bookmarkStart w:id="100044" w:name="_Toc100044"/>
      <w:r>
        <w:rPr>
          <w:rFonts w:ascii="Calibri" w:eastAsia="SimHei"/>
          <w:b/>
          <w:bCs/>
          <w:color w:val="1A5276"/>
          <w:sz w:val="28"/>
          <w:szCs w:val="28"/>
        </w:rPr>
        <w:t xml:space="preserve">4.5 NFR-05: Kepatuhan Regulasi</w:t>
      </w:r>
      <w:bookmarkEnd w:id="100044"/>
    </w:p>
    <w:p>
      <w:pPr>
        <w:spacing w:after="120" w:line="312"/>
        <w:ind w:firstLine="420"/>
        <w:jc w:val="both"/>
      </w:pPr>
      <w:r>
        <w:rPr>
          <w:rFonts w:ascii="Calibri" w:eastAsia="Microsoft YaHei"/>
          <w:color w:val="1E2E40"/>
          <w:sz w:val="24"/>
          <w:szCs w:val="24"/>
        </w:rPr>
        <w:t xml:space="preserve">Kepatuhan regulasi merupakan prasyarat mutlak untuk deployment di laboratorium farmasi dan klinis. Interscience telah memperoleh sertifikasi dan validasi untuk berbagai standar internasional, dan PlateVisionAI harus menempuh jalur yang serupa meskipun dengan pendekatan yang disesuaikan untuk perangkat lunak berbasis AI.</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cantSplit/>
          <w:tblHeader/>
        </w:trPr>
        <w:tc>
          <w:tcPr>
            <w:tcW w:type="pct" w:w="3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Standar/Regulasi</w:t>
            </w:r>
          </w:p>
        </w:tc>
        <w:tc>
          <w:tcPr>
            <w:tcW w:type="pct" w:w="35%"/>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Ruang Lingkup</w:t>
            </w:r>
          </w:p>
        </w:tc>
        <w:tc>
          <w:tcPr>
            <w:tcW w:type="pct" w:w="35%"/>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Status Target</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21 CFR Part 11</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Electronic records &amp; signatures</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Full compliance</w:t>
            </w:r>
          </w:p>
        </w:tc>
      </w:tr>
      <w:tr>
        <w:trPr>
          <w:cantSplit/>
        </w:trPr>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EU Annex 11</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Computerized systems in GMP</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Full compliance</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ISO 7218</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Microbiology of food/animal feeding</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Validated counting method</w:t>
            </w:r>
          </w:p>
        </w:tc>
      </w:tr>
      <w:tr>
        <w:trPr>
          <w:cantSplit/>
        </w:trPr>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USP &lt;61&gt;/&lt;62&gt;</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Microbiological examination</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Validation protocol</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IEC 62304</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Medical device software lifecycle</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Class B compliance</w:t>
            </w:r>
          </w:p>
        </w:tc>
      </w:tr>
      <w:tr>
        <w:trPr>
          <w:cantSplit/>
        </w:trPr>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ISO 13485</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Quality management (medical devices)</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QMS implemented</w:t>
            </w:r>
          </w:p>
        </w:tc>
      </w:tr>
      <w:tr>
        <w:trPr>
          <w:cantSplit/>
        </w:trPr>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HIPAA / GDPR</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Data privacy</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Compliant</w:t>
            </w:r>
          </w:p>
        </w:tc>
      </w:tr>
    </w:tbl>
    <w:p>
      <w:pPr>
        <w:keepNext/>
        <w:spacing w:after="200" w:before="120" w:line="312"/>
        <w:jc w:val="center"/>
      </w:pPr>
      <w:r>
        <w:rPr>
          <w:rFonts w:ascii="Calibri" w:eastAsia="Microsoft YaHei"/>
          <w:i/>
          <w:iCs/>
          <w:color w:val="4A6580"/>
          <w:sz w:val="21"/>
          <w:szCs w:val="21"/>
        </w:rPr>
        <w:t xml:space="preserve">Tabel 4.3: Target Kepatuhan Regulasi</w:t>
      </w:r>
    </w:p>
    <w:p>
      <w:pPr>
        <w:spacing w:after="120" w:line="312"/>
        <w:ind w:firstLine="420"/>
        <w:jc w:val="both"/>
      </w:pPr>
      <w:r>
        <w:rPr>
          <w:rFonts w:ascii="Calibri" w:eastAsia="Microsoft YaHei"/>
          <w:color w:val="1E2E40"/>
          <w:sz w:val="24"/>
          <w:szCs w:val="24"/>
        </w:rPr>
        <w:t xml:space="preserve">Untuk perangkat lunak berbasis AI yang digunakan dalam konteks medis/diagnostik, PlateVisionAI juga harus memenuhi persyaratan tambahan yang tidak ada pada sistem konvensional seperti Interscience, yaitu: (1) transparansi algoritma (algorithmic transparency) sesuai EU AI Act untuk sistem AI high-risk, (2) dokumentasi dataset pelatihan (data lineage, bias assessment), (3) mekanisme human-in-the-loop untuk override keputusan AI, dan (4) prosedur revalidasi berkala yang mempertimbangkan model updates. Hal-hal ini sebenarnya merupakan peluang bagi PlateVisionAI untuk menunjukkan governance yang lebih baik dibandingkan sistem berbasis rule-based tradisional.</w:t>
      </w:r>
    </w:p>
    <w:p>
      <w:pPr>
        <w:pStyle w:val="Heading2"/>
        <w:spacing w:after="120" w:before="280" w:line="312"/>
      </w:pPr>
      <w:bookmarkStart w:id="100045" w:name="_Toc100045"/>
      <w:r>
        <w:rPr>
          <w:rFonts w:ascii="Calibri" w:eastAsia="SimHei"/>
          <w:b/>
          <w:bCs/>
          <w:color w:val="1A5276"/>
          <w:sz w:val="28"/>
          <w:szCs w:val="28"/>
        </w:rPr>
        <w:t xml:space="preserve">4.6 NFR-06: Ketersediaan dan Ketahanan</w:t>
      </w:r>
      <w:bookmarkEnd w:id="100045"/>
    </w:p>
    <w:p>
      <w:pPr>
        <w:spacing w:after="120" w:line="312"/>
        <w:ind w:firstLine="420"/>
        <w:jc w:val="both"/>
      </w:pPr>
      <w:r>
        <w:rPr>
          <w:rFonts w:ascii="Calibri" w:eastAsia="Microsoft YaHei"/>
          <w:color w:val="1E2E40"/>
          <w:sz w:val="24"/>
          <w:szCs w:val="24"/>
        </w:rPr>
        <w:t xml:space="preserve">Sistem harus tersedia secara andal untuk mendukung operasional laboratorium yang mungkin berjalan 24/7. Interscience sebagai perangkat standalone memiliki ketersediaan yang tinggi karena tidak bergantung pada jaringan, sementara PlateVisionAI sebagai sistem berbasis web harus memastikan ketersediaan melalui arsitektur yang fault-tolerant.</w:t>
      </w:r>
    </w:p>
    <w:p>
      <w:pPr>
        <w:spacing w:after="120" w:line="312"/>
        <w:ind w:firstLine="420"/>
        <w:jc w:val="both"/>
      </w:pPr>
      <w:r>
        <w:rPr>
          <w:rFonts w:ascii="Calibri" w:eastAsia="Microsoft YaHei"/>
          <w:color w:val="1E2E40"/>
          <w:sz w:val="24"/>
          <w:szCs w:val="24"/>
        </w:rPr>
        <w:t xml:space="preserve">Target ketersediaan sistem adalah 99.5% uptime (setara kurang dari 4.38 jam downtime per bulan). Untuk mencapai target ini, sistem harus mengimplementasikan: (1) health check endpoints yang dipantau secara berkala, (2) automated failover untuk komponen kritis (inferensi server, database), (3) circuit breaker pattern untuk menangani kegagalan layanan dependensi, (4) graceful degradation di mana fitur non-kritis dapat dinonaktifkan saat beban tinggi tanpa mengganggu fungsi inti, dan (5) maintenance window yang dijadwalkan di luar jam operasional laboratorium. Sistem juga harus mendukung mode offline terbatas di mana inferensi dapat berjalan tanpa koneksi internet menggunakan model yang telah diunduh secara lokal.</w:t>
      </w:r>
    </w:p>
    <w:p>
      <w:pPr>
        <w:pStyle w:val="Heading2"/>
        <w:spacing w:after="120" w:before="280" w:line="312"/>
      </w:pPr>
      <w:bookmarkStart w:id="100046" w:name="_Toc100046"/>
      <w:r>
        <w:rPr>
          <w:rFonts w:ascii="Calibri" w:eastAsia="SimHei"/>
          <w:b/>
          <w:bCs/>
          <w:color w:val="1A5276"/>
          <w:sz w:val="28"/>
          <w:szCs w:val="28"/>
        </w:rPr>
        <w:t xml:space="preserve">4.7 NFR-07: Kemudahan Penggunaan (Usability)</w:t>
      </w:r>
      <w:bookmarkEnd w:id="100046"/>
    </w:p>
    <w:p>
      <w:pPr>
        <w:spacing w:after="120" w:line="312"/>
        <w:ind w:firstLine="420"/>
        <w:jc w:val="both"/>
      </w:pPr>
      <w:r>
        <w:rPr>
          <w:rFonts w:ascii="Calibri" w:eastAsia="Microsoft YaHei"/>
          <w:color w:val="1E2E40"/>
          <w:sz w:val="24"/>
          <w:szCs w:val="24"/>
        </w:rPr>
        <w:t xml:space="preserve">Sistem harus mudah digunakan oleh teknisi laboratorium yang mungkin tidak memiliki keahlian teknis mendalam. Usability merupakan area di mana Interscience memiliki keunggulan karena desain yang sudah teruji selama bertahun-tahun, dan PlateVisionAI harus mencapai standar yang setara melalui desain UX yang berpusat pada pengguna (user-centered design).</w:t>
      </w:r>
    </w:p>
    <w:p>
      <w:pPr>
        <w:spacing w:after="120" w:line="312"/>
        <w:ind w:firstLine="420"/>
        <w:jc w:val="both"/>
      </w:pPr>
      <w:r>
        <w:rPr>
          <w:rFonts w:ascii="Calibri" w:eastAsia="Microsoft YaHei"/>
          <w:color w:val="1E2E40"/>
          <w:sz w:val="24"/>
          <w:szCs w:val="24"/>
        </w:rPr>
        <w:t xml:space="preserve">Target usability meliputi: (1) waktu onboarding pengguna baru kurang dari 2 jam, (2) waktu untuk menyelesaikan analisis cawan tunggal dari upload hingga laporan kurang dari 5 klik, (3) System Usability Scale (SUS) score minimal 75 (good), (4) error rate pengguna kurang dari 5% untuk operasi standar, dan (5) ketersediaan panduan pengguna, video tutorial, dan tooltip kontekstual. Desain antarmuka harus mengikuti prinsip-prinsip: consistency, error prevention, recognition over recall, dan aesthetic integrity. User testing harus dilakukan minimal dengan 10 pengguna laboratorium sebelum setiap major release.</w:t>
      </w:r>
    </w:p>
    <w:p>
      <w:pPr>
        <w:pStyle w:val="Heading2"/>
        <w:spacing w:after="120" w:before="280" w:line="312"/>
      </w:pPr>
      <w:bookmarkStart w:id="100047" w:name="_Toc100047"/>
      <w:r>
        <w:rPr>
          <w:rFonts w:ascii="Calibri" w:eastAsia="SimHei"/>
          <w:b/>
          <w:bCs/>
          <w:color w:val="1A5276"/>
          <w:sz w:val="28"/>
          <w:szCs w:val="28"/>
        </w:rPr>
        <w:t xml:space="preserve">4.8 NFR-08: Pemeliharaan dan Ekstensibilitas</w:t>
      </w:r>
      <w:bookmarkEnd w:id="100047"/>
    </w:p>
    <w:p>
      <w:pPr>
        <w:spacing w:after="120" w:line="312"/>
        <w:ind w:firstLine="420"/>
        <w:jc w:val="both"/>
      </w:pPr>
      <w:r>
        <w:rPr>
          <w:rFonts w:ascii="Calibri" w:eastAsia="Microsoft YaHei"/>
          <w:color w:val="1E2E40"/>
          <w:sz w:val="24"/>
          <w:szCs w:val="24"/>
        </w:rPr>
        <w:t xml:space="preserve">Sistem harus dirancang untuk memudahkan pemeliharaan, pembaruan model, dan penambahan fitur baru tanpa mengganggu operasional yang berjalan. Ini merupakan keunggulan inheren dari arsitektur berbasis web dibandingkan sistem embedded seperti Interscience.</w:t>
      </w:r>
    </w:p>
    <w:p>
      <w:pPr>
        <w:spacing w:after="120" w:line="312"/>
        <w:ind w:firstLine="420"/>
        <w:jc w:val="both"/>
      </w:pPr>
      <w:r>
        <w:rPr>
          <w:rFonts w:ascii="Calibri" w:eastAsia="Microsoft YaHei"/>
          <w:color w:val="1E2E40"/>
          <w:sz w:val="24"/>
          <w:szCs w:val="24"/>
        </w:rPr>
        <w:t xml:space="preserve">Persyaratan pemeliharaan meliputi: (1) model hot-swapping yang memungkinkan pembaruan model tanpa downtime (blue-green deployment untuk model), (2) feature flags untuk gradual rollout fitur baru, (3) comprehensive logging dengan structured log format (JSON) dan centralized log aggregation (ELK/Loki stack), (4) automated CI/CD pipeline dengan stage testing yang mencakup unit test, integration test, dan model performance regression test, dan (5) infrastructure as code (IaC) menggunakan Terraform atau Ansible untuk reproducible deployment. Arsitektur harus mengikuti prinsip microservice atau modular monolith yang memungkinkan penambahan modul (misalnya modul penghitungan spesifik untuk jenis media baru) tanpa mengubah komponen inti.</w:t>
      </w:r>
    </w:p>
    <w:p>
      <w:pPr>
        <w:pStyle w:val="Heading1"/>
        <w:spacing w:after="160" w:before="360" w:line="312"/>
      </w:pPr>
      <w:bookmarkStart w:id="100048" w:name="_Toc100048"/>
      <w:r>
        <w:rPr>
          <w:rFonts w:ascii="Calibri" w:eastAsia="SimHei"/>
          <w:b/>
          <w:bCs/>
          <w:color w:val="1A5276"/>
          <w:sz w:val="32"/>
          <w:szCs w:val="32"/>
        </w:rPr>
        <w:t xml:space="preserve">5. Analisis Gap: PlateVisionAI vs Interscience</w:t>
      </w:r>
      <w:bookmarkEnd w:id="100048"/>
    </w:p>
    <w:p>
      <w:pPr>
        <w:spacing w:after="120" w:line="312"/>
        <w:ind w:firstLine="420"/>
        <w:jc w:val="both"/>
      </w:pPr>
      <w:r>
        <w:rPr>
          <w:rFonts w:ascii="Calibri" w:eastAsia="Microsoft YaHei"/>
          <w:color w:val="1E2E40"/>
          <w:sz w:val="24"/>
          <w:szCs w:val="24"/>
        </w:rPr>
        <w:t xml:space="preserve">Bagian ini menyajikan analisis komparatif antara kapabilitas PlateVisionAI saat ini dengan Interscience, mengidentifikasi gap yang perlu ditutup, dan menilai peluang diferensiasi di mana PlateVisionAI dapat mengungguli kompetitor.</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gridCol w:w="100"/>
        <w:gridCol w:w="100"/>
      </w:tblGrid>
      <w:tr>
        <w:trPr>
          <w:cantSplit/>
          <w:tblHeader/>
        </w:trPr>
        <w:tc>
          <w:tcPr>
            <w:tcW w:type="pct" w:w="2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Area Fungsional</w:t>
            </w:r>
          </w:p>
        </w:tc>
        <w:tc>
          <w:tcPr>
            <w:tcW w:type="pct" w:w="2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Interscience</w:t>
            </w:r>
          </w:p>
        </w:tc>
        <w:tc>
          <w:tcPr>
            <w:tcW w:type="pct" w:w="22%"/>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PlateVisionAI (Saat Ini)</w:t>
            </w:r>
          </w:p>
        </w:tc>
        <w:tc>
          <w:tcPr>
            <w:tcW w:type="pct" w:w="16%"/>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Gap</w:t>
            </w:r>
          </w:p>
        </w:tc>
        <w:tc>
          <w:tcPr>
            <w:tcW w:type="pct" w:w="22%"/>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Peluang Diferensiasi</w:t>
            </w:r>
          </w:p>
        </w:tc>
      </w:tr>
      <w:tr>
        <w:trPr>
          <w:cantSplit/>
        </w:trPr>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Penghitungan koloni otomatis</w:t>
            </w:r>
          </w:p>
        </w:tc>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Terverifikasi, akurat</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Deteksi saja, tanpa counting logic</w:t>
            </w:r>
          </w:p>
        </w:tc>
        <w:tc>
          <w:tcPr>
            <w:tcW w:type="pct" w:w="16%"/>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Kritis</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AI-based lebih adaptif</w:t>
            </w:r>
          </w:p>
        </w:tc>
      </w:tr>
      <w:tr>
        <w:trPr>
          <w:cantSplit/>
        </w:trPr>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Deteksi kontaminan</w:t>
            </w:r>
          </w:p>
        </w:tc>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Manual</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4 kelas (colony/bubble/dust/crack)</w:t>
            </w:r>
          </w:p>
        </w:tc>
        <w:tc>
          <w:tcPr>
            <w:tcW w:type="pct" w:w="16%"/>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PlateVisionAI unggul</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Keunggulan kompetitif utama</w:t>
            </w:r>
          </w:p>
        </w:tc>
      </w:tr>
      <w:tr>
        <w:trPr>
          <w:cantSplit/>
        </w:trPr>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Akurasi kelas crack</w:t>
            </w:r>
          </w:p>
        </w:tc>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N/A (tidak mendeteksi)</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mAP50: 0.499 (lemah)</w:t>
            </w:r>
          </w:p>
        </w:tc>
        <w:tc>
          <w:tcPr>
            <w:tcW w:type="pct" w:w="16%"/>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Perlu perbaikan</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Unik jika diperkuat</w:t>
            </w:r>
          </w:p>
        </w:tc>
      </w:tr>
      <w:tr>
        <w:trPr>
          <w:cantSplit/>
        </w:trPr>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Akurasi kelas dust</w:t>
            </w:r>
          </w:p>
        </w:tc>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N/A (tidak mendeteksi)</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mAP50-95: 0.241 (sangat lemah)</w:t>
            </w:r>
          </w:p>
        </w:tc>
        <w:tc>
          <w:tcPr>
            <w:tcW w:type="pct" w:w="16%"/>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Perlu perbaikan</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Unik jika diperkuat</w:t>
            </w:r>
          </w:p>
        </w:tc>
      </w:tr>
      <w:tr>
        <w:trPr>
          <w:cantSplit/>
        </w:trPr>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Pelaporan &amp; audit trail</w:t>
            </w:r>
          </w:p>
        </w:tc>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Lengkap + 21 CFR Part 11</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Tidak ada</w:t>
            </w:r>
          </w:p>
        </w:tc>
        <w:tc>
          <w:tcPr>
            <w:tcW w:type="pct" w:w="16%"/>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Kritis</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Cloud-native lebih fleksibel</w:t>
            </w:r>
          </w:p>
        </w:tc>
      </w:tr>
      <w:tr>
        <w:trPr>
          <w:cantSplit/>
        </w:trPr>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Multi-user &amp; RBAC</w:t>
            </w:r>
          </w:p>
        </w:tc>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Single workstation</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Single user (Gradio)</w:t>
            </w:r>
          </w:p>
        </w:tc>
        <w:tc>
          <w:tcPr>
            <w:tcW w:type="pct" w:w="16%"/>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Kritis</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Web-native lebih skalabel</w:t>
            </w:r>
          </w:p>
        </w:tc>
      </w:tr>
      <w:tr>
        <w:trPr>
          <w:cantSplit/>
        </w:trPr>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Integrasi LIMS</w:t>
            </w:r>
          </w:p>
        </w:tc>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scan^SOFT + ekspor</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Tidak ada API</w:t>
            </w:r>
          </w:p>
        </w:tc>
        <w:tc>
          <w:tcPr>
            <w:tcW w:type="pct" w:w="16%"/>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Kritis</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REST API lebih modern</w:t>
            </w:r>
          </w:p>
        </w:tc>
      </w:tr>
      <w:tr>
        <w:trPr>
          <w:cantSplit/>
        </w:trPr>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Kualitas citra input</w:t>
            </w:r>
          </w:p>
        </w:tc>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Hardware terintegrasi</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Manual/tanpa QC</w:t>
            </w:r>
          </w:p>
        </w:tc>
        <w:tc>
          <w:tcPr>
            <w:tcW w:type="pct" w:w="16%"/>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Signifikan</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AI-based QC lebih cerdas</w:t>
            </w:r>
          </w:p>
        </w:tc>
      </w:tr>
      <w:tr>
        <w:trPr>
          <w:cantSplit/>
        </w:trPr>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Hardware dependency</w:t>
            </w:r>
          </w:p>
        </w:tc>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Proprietary scanner</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Software-only</w:t>
            </w:r>
          </w:p>
        </w:tc>
        <w:tc>
          <w:tcPr>
            <w:tcW w:type="pct" w:w="16%"/>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PlateVisionAI unggul</w:t>
            </w:r>
          </w:p>
        </w:tc>
        <w:tc>
          <w:tcPr>
            <w:tcW w:type="pct" w:w="22%"/>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Cost-effective, fleksibel</w:t>
            </w:r>
          </w:p>
        </w:tc>
      </w:tr>
      <w:tr>
        <w:trPr>
          <w:cantSplit/>
        </w:trPr>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Regulasi &amp; sertifikasi</w:t>
            </w:r>
          </w:p>
        </w:tc>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Sertifikasi lengkap</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Belum ada</w:t>
            </w:r>
          </w:p>
        </w:tc>
        <w:tc>
          <w:tcPr>
            <w:tcW w:type="pct" w:w="16%"/>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Kritis</w:t>
            </w:r>
          </w:p>
        </w:tc>
        <w:tc>
          <w:tcPr>
            <w:tcW w:type="pct" w:w="22%"/>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AI governance lebih transparan</w:t>
            </w:r>
          </w:p>
        </w:tc>
      </w:tr>
    </w:tbl>
    <w:p>
      <w:pPr>
        <w:keepNext/>
        <w:spacing w:after="200" w:before="120" w:line="312"/>
        <w:jc w:val="center"/>
      </w:pPr>
      <w:r>
        <w:rPr>
          <w:rFonts w:ascii="Calibri" w:eastAsia="Microsoft YaHei"/>
          <w:i/>
          <w:iCs/>
          <w:color w:val="4A6580"/>
          <w:sz w:val="21"/>
          <w:szCs w:val="21"/>
        </w:rPr>
        <w:t xml:space="preserve">Tabel 5.1: Analisis Gap Komparatif PlateVisionAI vs Interscience</w:t>
      </w:r>
    </w:p>
    <w:p>
      <w:pPr>
        <w:spacing w:after="120" w:line="312"/>
        <w:ind w:firstLine="420"/>
        <w:jc w:val="both"/>
      </w:pPr>
      <w:r>
        <w:rPr>
          <w:rFonts w:ascii="Calibri" w:eastAsia="Microsoft YaHei"/>
          <w:color w:val="1E2E40"/>
          <w:sz w:val="24"/>
          <w:szCs w:val="24"/>
        </w:rPr>
        <w:t xml:space="preserve">Dari analisis gap di atas, terdapat tiga kategori gap: (1) Gap Kritis yang harus ditutup untuk minimum viable product, yaitu penghitungan koloni, pelaporan, audit trail, multi-user, dan kepatuhan regulasi; (2) Gap Signifikan yang penting untuk paritas kompetitif, yaitu kualitas citra input dan integrasi LIMS; dan (3) Peluang Diferensiasi di mana PlateVisionAI sudah unggul atau berpotensi mengungguli, yaitu deteksi kontaminan, arsitektur software-only, dan AI governance.</w:t>
      </w:r>
    </w:p>
    <w:p>
      <w:pPr>
        <w:pStyle w:val="Heading1"/>
        <w:spacing w:after="160" w:before="360" w:line="312"/>
      </w:pPr>
      <w:bookmarkStart w:id="100049" w:name="_Toc100049"/>
      <w:r>
        <w:rPr>
          <w:rFonts w:ascii="Calibri" w:eastAsia="SimHei"/>
          <w:b/>
          <w:bCs/>
          <w:color w:val="1A5276"/>
          <w:sz w:val="32"/>
          <w:szCs w:val="32"/>
        </w:rPr>
        <w:t xml:space="preserve">6. Roadmap Implementasi</w:t>
      </w:r>
      <w:bookmarkEnd w:id="100049"/>
    </w:p>
    <w:p>
      <w:pPr>
        <w:spacing w:after="120" w:line="312"/>
        <w:ind w:firstLine="420"/>
        <w:jc w:val="both"/>
      </w:pPr>
      <w:r>
        <w:rPr>
          <w:rFonts w:ascii="Calibri" w:eastAsia="Microsoft YaHei"/>
          <w:color w:val="1E2E40"/>
          <w:sz w:val="24"/>
          <w:szCs w:val="24"/>
        </w:rPr>
        <w:t xml:space="preserve">Implementasi persyaratan di atas direkomendasikan dalam empat fase yang terstruktur, dimulai dari fondasi inti hingga keunggulan kompetitif penuh. Setiap fase memiliki deliverable yang dapat divalidasi secara independen dan membangun di atas fondasi fase sebelumnya.</w:t>
      </w:r>
    </w:p>
    <w:p>
      <w:pPr>
        <w:pStyle w:val="Heading2"/>
        <w:spacing w:after="120" w:before="280" w:line="312"/>
      </w:pPr>
      <w:bookmarkStart w:id="100050" w:name="_Toc100050"/>
      <w:r>
        <w:rPr>
          <w:rFonts w:ascii="Calibri" w:eastAsia="SimHei"/>
          <w:b/>
          <w:bCs/>
          <w:color w:val="1A5276"/>
          <w:sz w:val="28"/>
          <w:szCs w:val="28"/>
        </w:rPr>
        <w:t xml:space="preserve">6.1 Fase 1: Core Engine (Bulan 1-3)</w:t>
      </w:r>
      <w:bookmarkEnd w:id="100050"/>
    </w:p>
    <w:p>
      <w:pPr>
        <w:spacing w:after="120" w:line="312"/>
        <w:ind w:firstLine="420"/>
        <w:jc w:val="both"/>
      </w:pPr>
      <w:r>
        <w:rPr>
          <w:rFonts w:ascii="Calibri" w:eastAsia="Microsoft YaHei"/>
          <w:color w:val="1E2E40"/>
          <w:sz w:val="24"/>
          <w:szCs w:val="24"/>
        </w:rPr>
        <w:t xml:space="preserve">Fase ini berfokus pada penguatan kapabilitas inti model dan implementasi logika penghitungan yang merupakan fungsi utama colony counter. Target utama adalah memiliki sistem yang dapat mendeteksi, mengklasifikasikan, dan menghitung koloni dengan akurasi yang memadai untuk pengujian internal.</w:t>
      </w:r>
    </w:p>
    <w:p>
      <w:pPr>
        <w:pStyle w:val="ListParagraph"/>
        <w:numPr>
          <w:ilvl w:val="0"/>
          <w:numId w:val="1"/>
        </w:numPr>
        <w:spacing w:after="60" w:line="312"/>
      </w:pPr>
      <w:r>
        <w:rPr>
          <w:rFonts w:ascii="Calibri" w:eastAsia="Microsoft YaHei"/>
          <w:color w:val="1E2E40"/>
          <w:sz w:val="24"/>
          <w:szCs w:val="24"/>
        </w:rPr>
        <w:t xml:space="preserve">Peningkatan model: augmentasi data targeted untuk kelas crack dan dust, fine-tuning dengan focal loss, target mAP50 crack &gt; 0.80, dust mAP50-95 &gt; 0.50</w:t>
      </w:r>
    </w:p>
    <w:p>
      <w:pPr>
        <w:pStyle w:val="ListParagraph"/>
        <w:numPr>
          <w:ilvl w:val="0"/>
          <w:numId w:val="1"/>
        </w:numPr>
        <w:spacing w:after="60" w:line="312"/>
      </w:pPr>
      <w:r>
        <w:rPr>
          <w:rFonts w:ascii="Calibri" w:eastAsia="Microsoft YaHei"/>
          <w:color w:val="1E2E40"/>
          <w:sz w:val="24"/>
          <w:szCs w:val="24"/>
        </w:rPr>
        <w:t xml:space="preserve">Implementasi counting logic: penghitungan koloni per cawan, filtering berdasarkan ukuran/kelas, deteksi area konfluens</w:t>
      </w:r>
    </w:p>
    <w:p>
      <w:pPr>
        <w:pStyle w:val="ListParagraph"/>
        <w:numPr>
          <w:ilvl w:val="0"/>
          <w:numId w:val="1"/>
        </w:numPr>
        <w:spacing w:after="60" w:line="312"/>
      </w:pPr>
      <w:r>
        <w:rPr>
          <w:rFonts w:ascii="Calibri" w:eastAsia="Microsoft YaHei"/>
          <w:color w:val="1E2E40"/>
          <w:sz w:val="24"/>
          <w:szCs w:val="24"/>
        </w:rPr>
        <w:t xml:space="preserve">Pipeline pra-pemrosesan: white balance, segmentasi cawan, normalisasi brightness/contrast</w:t>
      </w:r>
    </w:p>
    <w:p>
      <w:pPr>
        <w:pStyle w:val="ListParagraph"/>
        <w:numPr>
          <w:ilvl w:val="0"/>
          <w:numId w:val="1"/>
        </w:numPr>
        <w:spacing w:after="60" w:line="312"/>
      </w:pPr>
      <w:r>
        <w:rPr>
          <w:rFonts w:ascii="Calibri" w:eastAsia="Microsoft YaHei"/>
          <w:color w:val="1E2E40"/>
          <w:sz w:val="24"/>
          <w:szCs w:val="24"/>
        </w:rPr>
        <w:t xml:space="preserve">Kontrol kualitas citra input: validasi resolusi, fokus, pencahayaan</w:t>
      </w:r>
    </w:p>
    <w:p>
      <w:pPr>
        <w:pStyle w:val="ListParagraph"/>
        <w:numPr>
          <w:ilvl w:val="0"/>
          <w:numId w:val="1"/>
        </w:numPr>
        <w:spacing w:after="60" w:line="312"/>
      </w:pPr>
      <w:r>
        <w:rPr>
          <w:rFonts w:ascii="Calibri" w:eastAsia="Microsoft YaHei"/>
          <w:color w:val="1E2E40"/>
          <w:sz w:val="24"/>
          <w:szCs w:val="24"/>
        </w:rPr>
        <w:t xml:space="preserve">Basis data hasil analisis: skema database, penyimpanan gambar + metadata + hasil deteksi</w:t>
      </w:r>
    </w:p>
    <w:p>
      <w:pPr>
        <w:pStyle w:val="Heading2"/>
        <w:spacing w:after="120" w:before="280" w:line="312"/>
      </w:pPr>
      <w:bookmarkStart w:id="100051" w:name="_Toc100051"/>
      <w:r>
        <w:rPr>
          <w:rFonts w:ascii="Calibri" w:eastAsia="SimHei"/>
          <w:b/>
          <w:bCs/>
          <w:color w:val="1A5276"/>
          <w:sz w:val="28"/>
          <w:szCs w:val="28"/>
        </w:rPr>
        <w:t xml:space="preserve">6.2 Fase 2: Production Platform (Bulan 4-6)</w:t>
      </w:r>
      <w:bookmarkEnd w:id="100051"/>
    </w:p>
    <w:p>
      <w:pPr>
        <w:spacing w:after="120" w:line="312"/>
        <w:ind w:firstLine="420"/>
        <w:jc w:val="both"/>
      </w:pPr>
      <w:r>
        <w:rPr>
          <w:rFonts w:ascii="Calibri" w:eastAsia="Microsoft YaHei"/>
          <w:color w:val="1E2E40"/>
          <w:sz w:val="24"/>
          <w:szCs w:val="24"/>
        </w:rPr>
        <w:t xml:space="preserve">Fase ini membangun platform produksi di atas core engine yang telah dibangun pada Fase 1. Target utama adalah sistem yang dapat digunakan oleh multiple user di laboratorium dengan fitur pelaporan dan audit trail yang memadai.</w:t>
      </w:r>
    </w:p>
    <w:p>
      <w:pPr>
        <w:pStyle w:val="ListParagraph"/>
        <w:numPr>
          <w:ilvl w:val="0"/>
          <w:numId w:val="1"/>
        </w:numPr>
        <w:spacing w:after="60" w:line="312"/>
      </w:pPr>
      <w:r>
        <w:rPr>
          <w:rFonts w:ascii="Calibri" w:eastAsia="Microsoft YaHei"/>
          <w:color w:val="1E2E40"/>
          <w:sz w:val="24"/>
          <w:szCs w:val="24"/>
        </w:rPr>
        <w:t xml:space="preserve">Migrasi UI dari Gradio ke production web app (React/Next.js) dengan desain responsif</w:t>
      </w:r>
    </w:p>
    <w:p>
      <w:pPr>
        <w:pStyle w:val="ListParagraph"/>
        <w:numPr>
          <w:ilvl w:val="0"/>
          <w:numId w:val="1"/>
        </w:numPr>
        <w:spacing w:after="60" w:line="312"/>
      </w:pPr>
      <w:r>
        <w:rPr>
          <w:rFonts w:ascii="Calibri" w:eastAsia="Microsoft YaHei"/>
          <w:color w:val="1E2E40"/>
          <w:sz w:val="24"/>
          <w:szCs w:val="24"/>
        </w:rPr>
        <w:t xml:space="preserve">Sistem autentikasi dan RBAC: multi-user, role management, session handling</w:t>
      </w:r>
    </w:p>
    <w:p>
      <w:pPr>
        <w:pStyle w:val="ListParagraph"/>
        <w:numPr>
          <w:ilvl w:val="0"/>
          <w:numId w:val="1"/>
        </w:numPr>
        <w:spacing w:after="60" w:line="312"/>
      </w:pPr>
      <w:r>
        <w:rPr>
          <w:rFonts w:ascii="Calibri" w:eastAsia="Microsoft YaHei"/>
          <w:color w:val="1E2E40"/>
          <w:sz w:val="24"/>
          <w:szCs w:val="24"/>
        </w:rPr>
        <w:t xml:space="preserve">Pelaporan: laporan PDF dengan anotasi, ekspor Excel/CSV, template yang dapat dikustomisasi</w:t>
      </w:r>
    </w:p>
    <w:p>
      <w:pPr>
        <w:pStyle w:val="ListParagraph"/>
        <w:numPr>
          <w:ilvl w:val="0"/>
          <w:numId w:val="1"/>
        </w:numPr>
        <w:spacing w:after="60" w:line="312"/>
      </w:pPr>
      <w:r>
        <w:rPr>
          <w:rFonts w:ascii="Calibri" w:eastAsia="Microsoft YaHei"/>
          <w:color w:val="1E2E40"/>
          <w:sz w:val="24"/>
          <w:szCs w:val="24"/>
        </w:rPr>
        <w:t xml:space="preserve">Audit trail: logging immutable, 21 CFR Part 11 compliance foundation, digital signatures</w:t>
      </w:r>
    </w:p>
    <w:p>
      <w:pPr>
        <w:pStyle w:val="ListParagraph"/>
        <w:numPr>
          <w:ilvl w:val="0"/>
          <w:numId w:val="1"/>
        </w:numPr>
        <w:spacing w:after="60" w:line="312"/>
      </w:pPr>
      <w:r>
        <w:rPr>
          <w:rFonts w:ascii="Calibri" w:eastAsia="Microsoft YaHei"/>
          <w:color w:val="1E2E40"/>
          <w:sz w:val="24"/>
          <w:szCs w:val="24"/>
        </w:rPr>
        <w:t xml:space="preserve">Manajemen batch sampel: grouping, metadata, status tracking</w:t>
      </w:r>
    </w:p>
    <w:p>
      <w:pPr>
        <w:pStyle w:val="ListParagraph"/>
        <w:numPr>
          <w:ilvl w:val="0"/>
          <w:numId w:val="1"/>
        </w:numPr>
        <w:spacing w:after="60" w:line="312"/>
      </w:pPr>
      <w:r>
        <w:rPr>
          <w:rFonts w:ascii="Calibri" w:eastAsia="Microsoft YaHei"/>
          <w:color w:val="1E2E40"/>
          <w:sz w:val="24"/>
          <w:szCs w:val="24"/>
        </w:rPr>
        <w:t xml:space="preserve">REST API: endpoint analisis, hasil, konfigurasi, dengan dokumentasi OpenAPI</w:t>
      </w:r>
    </w:p>
    <w:p>
      <w:pPr>
        <w:pStyle w:val="Heading2"/>
        <w:spacing w:after="120" w:before="280" w:line="312"/>
      </w:pPr>
      <w:bookmarkStart w:id="100052" w:name="_Toc100052"/>
      <w:r>
        <w:rPr>
          <w:rFonts w:ascii="Calibri" w:eastAsia="SimHei"/>
          <w:b/>
          <w:bCs/>
          <w:color w:val="1A5276"/>
          <w:sz w:val="28"/>
          <w:szCs w:val="28"/>
        </w:rPr>
        <w:t xml:space="preserve">6.3 Fase 3: Enterprise Features (Bulan 7-9)</w:t>
      </w:r>
      <w:bookmarkEnd w:id="100052"/>
    </w:p>
    <w:p>
      <w:pPr>
        <w:spacing w:after="120" w:line="312"/>
        <w:ind w:firstLine="420"/>
        <w:jc w:val="both"/>
      </w:pPr>
      <w:r>
        <w:rPr>
          <w:rFonts w:ascii="Calibri" w:eastAsia="Microsoft YaHei"/>
          <w:color w:val="1E2E40"/>
          <w:sz w:val="24"/>
          <w:szCs w:val="24"/>
        </w:rPr>
        <w:t xml:space="preserve">Fase ini menambahkan fitur enterprise yang diperlukan untuk deployment di laboratorium besar dan integrasi dengan ekosistem laboratorium yang ada. Target utama adalah kesiapan untuk pilot deployment di laboratorium mitra.</w:t>
      </w:r>
    </w:p>
    <w:p>
      <w:pPr>
        <w:pStyle w:val="ListParagraph"/>
        <w:numPr>
          <w:ilvl w:val="0"/>
          <w:numId w:val="1"/>
        </w:numPr>
        <w:spacing w:after="60" w:line="312"/>
      </w:pPr>
      <w:r>
        <w:rPr>
          <w:rFonts w:ascii="Calibri" w:eastAsia="Microsoft YaHei"/>
          <w:color w:val="1E2E40"/>
          <w:sz w:val="24"/>
          <w:szCs w:val="24"/>
        </w:rPr>
        <w:t xml:space="preserve">Integrasi LIMS: adapter untuk LabWare, STARLIMS, dan format standar HL7/LOINC</w:t>
      </w:r>
    </w:p>
    <w:p>
      <w:pPr>
        <w:pStyle w:val="ListParagraph"/>
        <w:numPr>
          <w:ilvl w:val="0"/>
          <w:numId w:val="1"/>
        </w:numPr>
        <w:spacing w:after="60" w:line="312"/>
      </w:pPr>
      <w:r>
        <w:rPr>
          <w:rFonts w:ascii="Calibri" w:eastAsia="Microsoft YaHei"/>
          <w:color w:val="1E2E40"/>
          <w:sz w:val="24"/>
          <w:szCs w:val="24"/>
        </w:rPr>
        <w:t xml:space="preserve">Integrasi hardware: TWAIN/WIA scanner, ONVIF/RTSP camera, USB UVC support</w:t>
      </w:r>
    </w:p>
    <w:p>
      <w:pPr>
        <w:pStyle w:val="ListParagraph"/>
        <w:numPr>
          <w:ilvl w:val="0"/>
          <w:numId w:val="1"/>
        </w:numPr>
        <w:spacing w:after="60" w:line="312"/>
      </w:pPr>
      <w:r>
        <w:rPr>
          <w:rFonts w:ascii="Calibri" w:eastAsia="Microsoft YaHei"/>
          <w:color w:val="1E2E40"/>
          <w:sz w:val="24"/>
          <w:szCs w:val="24"/>
        </w:rPr>
        <w:t xml:space="preserve">Dashboard analitik: KPI operasional, tren akurasi, anomaly detection, alert system</w:t>
      </w:r>
    </w:p>
    <w:p>
      <w:pPr>
        <w:pStyle w:val="ListParagraph"/>
        <w:numPr>
          <w:ilvl w:val="0"/>
          <w:numId w:val="1"/>
        </w:numPr>
        <w:spacing w:after="60" w:line="312"/>
      </w:pPr>
      <w:r>
        <w:rPr>
          <w:rFonts w:ascii="Calibri" w:eastAsia="Microsoft YaHei"/>
          <w:color w:val="1E2E40"/>
          <w:sz w:val="24"/>
          <w:szCs w:val="24"/>
        </w:rPr>
        <w:t xml:space="preserve">Model hot-swapping: blue-green deployment untuk model update tanpa downtime</w:t>
      </w:r>
    </w:p>
    <w:p>
      <w:pPr>
        <w:pStyle w:val="ListParagraph"/>
        <w:numPr>
          <w:ilvl w:val="0"/>
          <w:numId w:val="1"/>
        </w:numPr>
        <w:spacing w:after="60" w:line="312"/>
      </w:pPr>
      <w:r>
        <w:rPr>
          <w:rFonts w:ascii="Calibri" w:eastAsia="Microsoft YaHei"/>
          <w:color w:val="1E2E40"/>
          <w:sz w:val="24"/>
          <w:szCs w:val="24"/>
        </w:rPr>
        <w:t xml:space="preserve">Skalabilitas: horizontal scaling inferensi, database sharding, S3-compatible storage</w:t>
      </w:r>
    </w:p>
    <w:p>
      <w:pPr>
        <w:pStyle w:val="ListParagraph"/>
        <w:numPr>
          <w:ilvl w:val="0"/>
          <w:numId w:val="1"/>
        </w:numPr>
        <w:spacing w:after="60" w:line="312"/>
      </w:pPr>
      <w:r>
        <w:rPr>
          <w:rFonts w:ascii="Calibri" w:eastAsia="Microsoft YaHei"/>
          <w:color w:val="1E2E40"/>
          <w:sz w:val="24"/>
          <w:szCs w:val="24"/>
        </w:rPr>
        <w:t xml:space="preserve">Webhook dan event notification untuk integrasi real-time</w:t>
      </w:r>
    </w:p>
    <w:p>
      <w:pPr>
        <w:pStyle w:val="Heading2"/>
        <w:spacing w:after="120" w:before="280" w:line="312"/>
      </w:pPr>
      <w:bookmarkStart w:id="100053" w:name="_Toc100053"/>
      <w:r>
        <w:rPr>
          <w:rFonts w:ascii="Calibri" w:eastAsia="SimHei"/>
          <w:b/>
          <w:bCs/>
          <w:color w:val="1A5276"/>
          <w:sz w:val="28"/>
          <w:szCs w:val="28"/>
        </w:rPr>
        <w:t xml:space="preserve">6.4 Fase 4: Compliance &amp; Excellence (Bulan 10-12)</w:t>
      </w:r>
      <w:bookmarkEnd w:id="100053"/>
    </w:p>
    <w:p>
      <w:pPr>
        <w:spacing w:after="120" w:line="312"/>
        <w:ind w:firstLine="420"/>
        <w:jc w:val="both"/>
      </w:pPr>
      <w:r>
        <w:rPr>
          <w:rFonts w:ascii="Calibri" w:eastAsia="Microsoft YaHei"/>
          <w:color w:val="1E2E40"/>
          <w:sz w:val="24"/>
          <w:szCs w:val="24"/>
        </w:rPr>
        <w:t xml:space="preserve">Fase terakhir berfokus pada kepatuhan regulasi penuh, optimasi performa, dan penguatan keunggulan kompetitif. Target utama adalah sistem yang siap untuk validasi GMP dan deployment komersial.</w:t>
      </w:r>
    </w:p>
    <w:p>
      <w:pPr>
        <w:pStyle w:val="ListParagraph"/>
        <w:numPr>
          <w:ilvl w:val="0"/>
          <w:numId w:val="1"/>
        </w:numPr>
        <w:spacing w:after="60" w:line="312"/>
      </w:pPr>
      <w:r>
        <w:rPr>
          <w:rFonts w:ascii="Calibri" w:eastAsia="Microsoft YaHei"/>
          <w:color w:val="1E2E40"/>
          <w:sz w:val="24"/>
          <w:szCs w:val="24"/>
        </w:rPr>
        <w:t xml:space="preserve">Kepatuhan 21 CFR Part 11: electronic signatures, audit trail validation, access control review</w:t>
      </w:r>
    </w:p>
    <w:p>
      <w:pPr>
        <w:pStyle w:val="ListParagraph"/>
        <w:numPr>
          <w:ilvl w:val="0"/>
          <w:numId w:val="1"/>
        </w:numPr>
        <w:spacing w:after="60" w:line="312"/>
      </w:pPr>
      <w:r>
        <w:rPr>
          <w:rFonts w:ascii="Calibri" w:eastAsia="Microsoft YaHei"/>
          <w:color w:val="1E2E40"/>
          <w:sz w:val="24"/>
          <w:szCs w:val="24"/>
        </w:rPr>
        <w:t xml:space="preserve">Validasi IEC 62304: software lifecycle documentation, risk management file, design history</w:t>
      </w:r>
    </w:p>
    <w:p>
      <w:pPr>
        <w:pStyle w:val="ListParagraph"/>
        <w:numPr>
          <w:ilvl w:val="0"/>
          <w:numId w:val="1"/>
        </w:numPr>
        <w:spacing w:after="60" w:line="312"/>
      </w:pPr>
      <w:r>
        <w:rPr>
          <w:rFonts w:ascii="Calibri" w:eastAsia="Microsoft YaHei"/>
          <w:color w:val="1E2E40"/>
          <w:sz w:val="24"/>
          <w:szCs w:val="24"/>
        </w:rPr>
        <w:t xml:space="preserve">Performance optimization: TensorRT/ONNX Runtime, batch processing, caching strategy</w:t>
      </w:r>
    </w:p>
    <w:p>
      <w:pPr>
        <w:pStyle w:val="ListParagraph"/>
        <w:numPr>
          <w:ilvl w:val="0"/>
          <w:numId w:val="1"/>
        </w:numPr>
        <w:spacing w:after="60" w:line="312"/>
      </w:pPr>
      <w:r>
        <w:rPr>
          <w:rFonts w:ascii="Calibri" w:eastAsia="Microsoft YaHei"/>
          <w:color w:val="1E2E40"/>
          <w:sz w:val="24"/>
          <w:szCs w:val="24"/>
        </w:rPr>
        <w:t xml:space="preserve">Model A/B testing framework: evaluasi model baru vs produksi secara paralel</w:t>
      </w:r>
    </w:p>
    <w:p>
      <w:pPr>
        <w:pStyle w:val="ListParagraph"/>
        <w:numPr>
          <w:ilvl w:val="0"/>
          <w:numId w:val="1"/>
        </w:numPr>
        <w:spacing w:after="60" w:line="312"/>
      </w:pPr>
      <w:r>
        <w:rPr>
          <w:rFonts w:ascii="Calibri" w:eastAsia="Microsoft YaHei"/>
          <w:color w:val="1E2E40"/>
          <w:sz w:val="24"/>
          <w:szCs w:val="24"/>
        </w:rPr>
        <w:t xml:space="preserve">Drift detection otomatis: weekly benchmark, alert system, automated retraining trigger</w:t>
      </w:r>
    </w:p>
    <w:p>
      <w:pPr>
        <w:pStyle w:val="ListParagraph"/>
        <w:numPr>
          <w:ilvl w:val="0"/>
          <w:numId w:val="1"/>
        </w:numPr>
        <w:spacing w:after="60" w:line="312"/>
      </w:pPr>
      <w:r>
        <w:rPr>
          <w:rFonts w:ascii="Calibri" w:eastAsia="Microsoft YaHei"/>
          <w:color w:val="1E2E40"/>
          <w:sz w:val="24"/>
          <w:szCs w:val="24"/>
        </w:rPr>
        <w:t xml:space="preserve">User acceptance testing dengan 10+ pengguna laboratorium dan iterasi berdasarkan feedback</w:t>
      </w:r>
    </w:p>
    <w:p>
      <w:pPr>
        <w:pStyle w:val="ListParagraph"/>
        <w:numPr>
          <w:ilvl w:val="0"/>
          <w:numId w:val="1"/>
        </w:numPr>
        <w:spacing w:after="60" w:line="312"/>
      </w:pPr>
      <w:r>
        <w:rPr>
          <w:rFonts w:ascii="Calibri" w:eastAsia="Microsoft YaHei"/>
          <w:color w:val="1E2E40"/>
          <w:sz w:val="24"/>
          <w:szCs w:val="24"/>
        </w:rPr>
        <w:t xml:space="preserve">Dokumentasi validasi: IQ/OQ/PQ protocols, validation reports, SOPs</w:t>
      </w:r>
    </w:p>
    <w:p>
      <w:pPr>
        <w:pStyle w:val="Heading2"/>
        <w:spacing w:after="120" w:before="280" w:line="312"/>
      </w:pPr>
      <w:bookmarkStart w:id="100054" w:name="_Toc100054"/>
      <w:r>
        <w:rPr>
          <w:rFonts w:ascii="Calibri" w:eastAsia="SimHei"/>
          <w:b/>
          <w:bCs/>
          <w:color w:val="1A5276"/>
          <w:sz w:val="28"/>
          <w:szCs w:val="28"/>
        </w:rPr>
        <w:t xml:space="preserve">6.5 Ringkasan Roadmap</w:t>
      </w:r>
      <w:bookmarkEnd w:id="100054"/>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gridCol w:w="100"/>
      </w:tblGrid>
      <w:tr>
        <w:trPr>
          <w:cantSplit/>
          <w:tblHeader/>
        </w:trPr>
        <w:tc>
          <w:tcPr>
            <w:tcW w:type="pct" w:w="2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Fase</w:t>
            </w:r>
          </w:p>
        </w:tc>
        <w:tc>
          <w:tcPr>
            <w:tcW w:type="pct" w:w="15%"/>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Periode</w:t>
            </w:r>
          </w:p>
        </w:tc>
        <w:tc>
          <w:tcPr>
            <w:tcW w:type="pct" w:w="30%"/>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Fokus Utama</w:t>
            </w:r>
          </w:p>
        </w:tc>
        <w:tc>
          <w:tcPr>
            <w:tcW w:type="pct" w:w="35%"/>
            <w:shd w:fill="2E86C1" w:val="clear"/>
            <w:tcMar>
              <w:top w:type="dxa" w:w="60"/>
              <w:left w:type="dxa" w:w="120"/>
              <w:bottom w:type="dxa" w:w="60"/>
              <w:right w:type="dxa" w:w="120"/>
            </w:tcMar>
          </w:tcPr>
          <w:p>
            <w:pPr>
              <w:jc w:val="center"/>
            </w:pPr>
            <w:r>
              <w:rPr>
                <w:rFonts w:ascii="Calibri" w:eastAsia="SimHei"/>
                <w:b/>
                <w:bCs/>
                <w:color w:val="FFFFFF"/>
                <w:sz w:val="21"/>
                <w:szCs w:val="21"/>
              </w:rPr>
              <w:t xml:space="preserve">Deliverable Kunci</w:t>
            </w:r>
          </w:p>
        </w:tc>
      </w:tr>
      <w:tr>
        <w:trPr>
          <w:cantSplit/>
        </w:trPr>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Fase 1: Core Engine</w:t>
            </w:r>
          </w:p>
        </w:tc>
        <w:tc>
          <w:tcPr>
            <w:tcW w:type="pct" w:w="1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Bulan 1-3</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Model + counting + preprocessing</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Model V5 + counting engine + DB schema</w:t>
            </w:r>
          </w:p>
        </w:tc>
      </w:tr>
      <w:tr>
        <w:trPr>
          <w:cantSplit/>
        </w:trPr>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Fase 2: Production Platform</w:t>
            </w:r>
          </w:p>
        </w:tc>
        <w:tc>
          <w:tcPr>
            <w:tcW w:type="pct" w:w="1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Bulan 4-6</w:t>
            </w:r>
          </w:p>
        </w:tc>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Web app + auth + reporting + API</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Production web app + REST API + audit trail</w:t>
            </w:r>
          </w:p>
        </w:tc>
      </w:tr>
      <w:tr>
        <w:trPr>
          <w:cantSplit/>
        </w:trPr>
        <w:tc>
          <w:tcPr>
            <w:tcW w:type="pct" w:w="2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Fase 3: Enterprise Features</w:t>
            </w:r>
          </w:p>
        </w:tc>
        <w:tc>
          <w:tcPr>
            <w:tcW w:type="pct" w:w="1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Bulan 7-9</w:t>
            </w:r>
          </w:p>
        </w:tc>
        <w:tc>
          <w:tcPr>
            <w:tcW w:type="pct" w:w="30%"/>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LIMS + hardware + dashboard + scale</w:t>
            </w:r>
          </w:p>
        </w:tc>
        <w:tc>
          <w:tcPr>
            <w:tcW w:type="pct" w:w="35%"/>
            <w:shd w:fill="EDF3F8" w:val="clear"/>
            <w:tcMar>
              <w:top w:type="dxa" w:w="60"/>
              <w:left w:type="dxa" w:w="120"/>
              <w:bottom w:type="dxa" w:w="60"/>
              <w:right w:type="dxa" w:w="120"/>
            </w:tcMar>
          </w:tcPr>
          <w:p>
            <w:pPr>
              <w:spacing w:line="312"/>
            </w:pPr>
            <w:r>
              <w:rPr>
                <w:rFonts w:ascii="Calibri" w:eastAsia="Microsoft YaHei"/>
                <w:color w:val="1E2E40"/>
                <w:sz w:val="21"/>
                <w:szCs w:val="21"/>
              </w:rPr>
              <w:t xml:space="preserve">LIMS integration + analytics dashboard</w:t>
            </w:r>
          </w:p>
        </w:tc>
      </w:tr>
      <w:tr>
        <w:trPr>
          <w:cantSplit/>
        </w:trPr>
        <w:tc>
          <w:tcPr>
            <w:tcW w:type="pct" w:w="2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Fase 4: Compliance</w:t>
            </w:r>
          </w:p>
        </w:tc>
        <w:tc>
          <w:tcPr>
            <w:tcW w:type="pct" w:w="1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Bulan 10-12</w:t>
            </w:r>
          </w:p>
        </w:tc>
        <w:tc>
          <w:tcPr>
            <w:tcW w:type="pct" w:w="30%"/>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Regulasi + optimasi + UAT</w:t>
            </w:r>
          </w:p>
        </w:tc>
        <w:tc>
          <w:tcPr>
            <w:tcW w:type="pct" w:w="35%"/>
            <w:shd w:fill="FFFFFF" w:val="clear"/>
            <w:tcMar>
              <w:top w:type="dxa" w:w="60"/>
              <w:left w:type="dxa" w:w="120"/>
              <w:bottom w:type="dxa" w:w="60"/>
              <w:right w:type="dxa" w:w="120"/>
            </w:tcMar>
          </w:tcPr>
          <w:p>
            <w:pPr>
              <w:spacing w:line="312"/>
            </w:pPr>
            <w:r>
              <w:rPr>
                <w:rFonts w:ascii="Calibri" w:eastAsia="Microsoft YaHei"/>
                <w:color w:val="1E2E40"/>
                <w:sz w:val="21"/>
                <w:szCs w:val="21"/>
              </w:rPr>
              <w:t xml:space="preserve">GMP-ready system + validation docs</w:t>
            </w:r>
          </w:p>
        </w:tc>
      </w:tr>
    </w:tbl>
    <w:p>
      <w:pPr>
        <w:keepNext/>
        <w:spacing w:after="200" w:before="120" w:line="312"/>
        <w:jc w:val="center"/>
      </w:pPr>
      <w:r>
        <w:rPr>
          <w:rFonts w:ascii="Calibri" w:eastAsia="Microsoft YaHei"/>
          <w:i/>
          <w:iCs/>
          <w:color w:val="4A6580"/>
          <w:sz w:val="21"/>
          <w:szCs w:val="21"/>
        </w:rPr>
        <w:t xml:space="preserve">Tabel 6.1: Ringkasan Roadmap Implementasi</w:t>
      </w:r>
    </w:p>
    <w:sectPr>
      <w:headerReference w:type="default" r:id="rId9"/>
      <w:footerReference w:type="default" r:id="rId10"/>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4A65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4A65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4A6580"/>
        <w:sz w:val="18"/>
        <w:szCs w:val="18"/>
      </w:rPr>
      <w:t xml:space="preserve">PlateVisionAI — SRS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4A6580"/>
        <w:sz w:val="18"/>
        <w:szCs w:val="18"/>
      </w:rPr>
      <w:t xml:space="preserve">PlateVisionAI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E2E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A5276"/>
      <w:sz w:val="32"/>
      <w:szCs w:val="32"/>
    </w:rPr>
  </w:style>
  <w:style w:type="paragraph" w:styleId="Heading2">
    <w:name w:val="Heading 2"/>
    <w:basedOn w:val="Normal"/>
    <w:next w:val="Normal"/>
    <w:qFormat/>
    <w:pPr>
      <w:spacing w:after="120" w:before="280" w:line="312"/>
      <w:outlineLvl w:val="1"/>
    </w:pPr>
    <w:rPr>
      <w:rFonts w:ascii="Calibri" w:eastAsia="SimHei"/>
      <w:b/>
      <w:bCs/>
      <w:color w:val="1A5276"/>
      <w:sz w:val="28"/>
      <w:szCs w:val="28"/>
    </w:rPr>
  </w:style>
  <w:style w:type="paragraph" w:styleId="Heading3">
    <w:name w:val="Heading 3"/>
    <w:basedOn w:val="Normal"/>
    <w:next w:val="Normal"/>
    <w:qFormat/>
    <w:pPr>
      <w:spacing w:after="100" w:before="200" w:line="312"/>
      <w:outlineLvl w:val="2"/>
    </w:pPr>
    <w:rPr>
      <w:rFonts w:ascii="Calibri" w:eastAsia="SimHei"/>
      <w:b/>
      <w:bCs/>
      <w:color w:val="1A5276"/>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2026-05-13T03:18:12.653Z</dcterms:created>
  <dcterms:modified xsi:type="dcterms:W3CDTF">2026-05-13T03:18:12.653Z</dcterms:modified>
</cp:coreProperties>
</file>

<file path=docProps/custom.xml><?xml version="1.0" encoding="utf-8"?>
<Properties xmlns="http://schemas.openxmlformats.org/officeDocument/2006/custom-properties" xmlns:vt="http://schemas.openxmlformats.org/officeDocument/2006/docPropsVTypes"/>
</file>