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4B87"/>
          <w:sz w:val="38"/>
        </w:rPr>
        <w:t>Individual Technical Contribution Report</w:t>
      </w:r>
    </w:p>
    <w:p>
      <w:pPr>
        <w:spacing w:before="0" w:after="160"/>
      </w:pPr>
      <w:r>
        <w:rPr>
          <w:rFonts w:ascii="Calibri" w:hAnsi="Calibri"/>
          <w:color w:val="475569"/>
          <w:sz w:val="23"/>
        </w:rPr>
        <w:t>Lead System Architect &amp; AI Diagnostic Engine Lead — Shivanshu Yadav</w:t>
      </w:r>
    </w:p>
    <w:tbl>
      <w:tblPr>
        <w:tblW w:type="auto" w:w="0"/>
        <w:jc w:val="center"/>
        <w:tblLayout w:type="fixed"/>
        <w:tblLook w:firstColumn="1" w:firstRow="1" w:lastColumn="0" w:lastRow="0" w:noHBand="0" w:noVBand="1" w:val="04A0"/>
      </w:tblPr>
      <w:tblGrid>
        <w:gridCol w:w="4896"/>
        <w:gridCol w:w="4896"/>
      </w:tblGrid>
      <w:tr>
        <w:tc>
          <w:tcPr>
            <w:tcW w:type="dxa" w:w="3312"/>
            <w:shd w:fill="004B87"/>
            <w:tcMar>
              <w:top w:w="100" w:type="dxa"/>
              <w:bottom w:w="10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b/>
                <w:color w:val="FFFFFF"/>
                <w:sz w:val="19"/>
              </w:rPr>
              <w:t>Metadata Attribute</w:t>
            </w:r>
          </w:p>
        </w:tc>
        <w:tc>
          <w:tcPr>
            <w:tcW w:type="dxa" w:w="6048"/>
            <w:shd w:fill="004B87"/>
            <w:tcMar>
              <w:top w:w="100" w:type="dxa"/>
              <w:bottom w:w="10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b/>
                <w:color w:val="FFFFFF"/>
                <w:sz w:val="19"/>
              </w:rPr>
              <w:t>Project Details</w:t>
            </w:r>
          </w:p>
        </w:tc>
      </w:tr>
      <w:tr>
        <w:tc>
          <w:tcPr>
            <w:tcW w:type="dxa" w:w="3312"/>
            <w:shd w:fill="FFFFFF"/>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Student Name</w:t>
            </w:r>
          </w:p>
        </w:tc>
        <w:tc>
          <w:tcPr>
            <w:tcW w:type="dxa" w:w="6048"/>
            <w:shd w:fill="FFFFFF"/>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Shivanshu Yadav</w:t>
            </w:r>
          </w:p>
        </w:tc>
      </w:tr>
      <w:tr>
        <w:tc>
          <w:tcPr>
            <w:tcW w:type="dxa" w:w="3312"/>
            <w:shd w:fill="F8FAFC"/>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Assigned Role</w:t>
            </w:r>
          </w:p>
        </w:tc>
        <w:tc>
          <w:tcPr>
            <w:tcW w:type="dxa" w:w="6048"/>
            <w:shd w:fill="F8FAFC"/>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Lead System Architect, AI Diagnostic Engine &amp; HITL Platform Lead</w:t>
            </w:r>
          </w:p>
        </w:tc>
      </w:tr>
      <w:tr>
        <w:tc>
          <w:tcPr>
            <w:tcW w:type="dxa" w:w="3312"/>
            <w:shd w:fill="FFFFFF"/>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Project Title</w:t>
            </w:r>
          </w:p>
        </w:tc>
        <w:tc>
          <w:tcPr>
            <w:tcW w:type="dxa" w:w="6048"/>
            <w:shd w:fill="FFFFFF"/>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NetSage AI: Automated Network Diagnostic Assistant</w:t>
            </w:r>
          </w:p>
        </w:tc>
      </w:tr>
      <w:tr>
        <w:tc>
          <w:tcPr>
            <w:tcW w:type="dxa" w:w="3312"/>
            <w:shd w:fill="F8FAFC"/>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Program Track</w:t>
            </w:r>
          </w:p>
        </w:tc>
        <w:tc>
          <w:tcPr>
            <w:tcW w:type="dxa" w:w="6048"/>
            <w:shd w:fill="F8FAFC"/>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Cisco AICTE Virtual Internship Program 2026 — AI Track</w:t>
            </w:r>
          </w:p>
        </w:tc>
      </w:tr>
      <w:tr>
        <w:tc>
          <w:tcPr>
            <w:tcW w:type="dxa" w:w="3312"/>
            <w:shd w:fill="FFFFFF"/>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Core Modules Owned</w:t>
            </w:r>
          </w:p>
        </w:tc>
        <w:tc>
          <w:tcPr>
            <w:tcW w:type="dxa" w:w="6048"/>
            <w:shd w:fill="FFFFFF"/>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src/engine.py, src/app.py, prompts/diagnose_prompt.md, System Architecture</w:t>
            </w:r>
          </w:p>
        </w:tc>
      </w:tr>
      <w:tr>
        <w:tc>
          <w:tcPr>
            <w:tcW w:type="dxa" w:w="3312"/>
            <w:shd w:fill="F8FAFC"/>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Key Deliverables</w:t>
            </w:r>
          </w:p>
        </w:tc>
        <w:tc>
          <w:tcPr>
            <w:tcW w:type="dxa" w:w="6048"/>
            <w:shd w:fill="F8FAFC"/>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Hybrid AI Pipeline, Gemini API Integration, Pydantic Schema, Streamlit UI, HITL Gate</w:t>
            </w:r>
          </w:p>
        </w:tc>
      </w:tr>
      <w:tr>
        <w:tc>
          <w:tcPr>
            <w:tcW w:type="dxa" w:w="3312"/>
            <w:shd w:fill="FFFFFF"/>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Submission Date</w:t>
            </w:r>
          </w:p>
        </w:tc>
        <w:tc>
          <w:tcPr>
            <w:tcW w:type="dxa" w:w="6048"/>
            <w:shd w:fill="FFFFFF"/>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August 2026</w:t>
            </w:r>
          </w:p>
        </w:tc>
      </w:tr>
    </w:tbl>
    <w:p>
      <w:pPr>
        <w:spacing w:before="0" w:after="60"/>
      </w:pPr>
    </w:p>
    <w:p>
      <w:pPr>
        <w:pStyle w:val="Heading1"/>
        <w:keepNext/>
        <w:spacing w:before="280" w:after="80"/>
      </w:pPr>
      <w:r>
        <w:rPr>
          <w:rFonts w:ascii="Calibri" w:hAnsi="Calibri"/>
          <w:b/>
          <w:color w:val="004B87"/>
          <w:sz w:val="30"/>
        </w:rPr>
        <w:t>1. Role &amp; Scope of Contribution</w:t>
      </w:r>
    </w:p>
    <w:p>
      <w:pPr>
        <w:spacing w:before="0" w:after="60" w:line="276" w:lineRule="auto"/>
      </w:pPr>
      <w:r>
        <w:rPr>
          <w:rFonts w:ascii="Calibri" w:hAnsi="Calibri"/>
          <w:color w:val="334155"/>
          <w:sz w:val="19"/>
        </w:rPr>
        <w:t>As the Lead System Architect and AI Diagnostic Engine Lead, I was responsible for the majority of the technical scope of NetSage AI. My role centered on designing the overall multi-tier system architecture, orchestrating the interaction between deterministic checkers and generative models, engineering the structured prompt pipelines, enforcing strict JSON output typing with Pydantic, building the Streamlit operations dashboard, and integrating all subsystems into a unified, crash-resilient application.</w:t>
      </w:r>
    </w:p>
    <w:p>
      <w:pPr>
        <w:pStyle w:val="Heading1"/>
        <w:keepNext/>
        <w:spacing w:before="280" w:after="80"/>
      </w:pPr>
      <w:r>
        <w:rPr>
          <w:rFonts w:ascii="Calibri" w:hAnsi="Calibri"/>
          <w:b/>
          <w:color w:val="004B87"/>
          <w:sz w:val="30"/>
        </w:rPr>
        <w:t>2. System Architecture &amp; Hybrid Pipeline Strategy</w:t>
      </w:r>
    </w:p>
    <w:p>
      <w:pPr>
        <w:spacing w:before="0" w:after="60" w:line="276" w:lineRule="auto"/>
      </w:pPr>
      <w:r>
        <w:rPr>
          <w:rFonts w:ascii="Calibri" w:hAnsi="Calibri"/>
          <w:color w:val="334155"/>
          <w:sz w:val="19"/>
        </w:rPr>
        <w:t>The fundamental engineering challenge of applying AI to network diagnostics is managing non-deterministic outputs. Large Language Models can generate plausible-sounding but technically catastrophic remediation commands. To solve this, I architected a Hybrid Diagnostic Pipeline that combines the deterministic precision of regular expressions with the contextual synthesis capabilities of Google Gemini 2.5 Flash.</w:t>
      </w:r>
    </w:p>
    <w:p>
      <w:pPr>
        <w:spacing w:before="0" w:after="60" w:line="276" w:lineRule="auto"/>
      </w:pPr>
      <w:r>
        <w:rPr>
          <w:rFonts w:ascii="Calibri" w:hAnsi="Calibri"/>
          <w:color w:val="334155"/>
          <w:sz w:val="19"/>
        </w:rPr>
        <w:t>Key architectural principles I established:</w:t>
      </w:r>
    </w:p>
    <w:p>
      <w:pPr>
        <w:pStyle w:val="ListBullet"/>
        <w:spacing w:before="0" w:after="50" w:line="269" w:lineRule="auto"/>
      </w:pPr>
      <w:r>
        <w:rPr>
          <w:rFonts w:ascii="Calibri" w:hAnsi="Calibri"/>
          <w:b/>
          <w:color w:val="0F172A"/>
          <w:sz w:val="19"/>
        </w:rPr>
        <w:t xml:space="preserve">Pre-Inference Deterministic Gating: </w:t>
      </w:r>
      <w:r>
        <w:rPr>
          <w:rFonts w:ascii="Calibri" w:hAnsi="Calibri"/>
          <w:color w:val="334155"/>
          <w:sz w:val="19"/>
        </w:rPr>
        <w:t>The deterministic checker (`src/checker.py`) processes telemetry first to detect obvious syntax errors before the prompt is formatted.</w:t>
      </w:r>
    </w:p>
    <w:p>
      <w:pPr>
        <w:pStyle w:val="ListBullet"/>
        <w:spacing w:before="0" w:after="50" w:line="269" w:lineRule="auto"/>
      </w:pPr>
      <w:r>
        <w:rPr>
          <w:rFonts w:ascii="Calibri" w:hAnsi="Calibri"/>
          <w:b/>
          <w:color w:val="0F172A"/>
          <w:sz w:val="19"/>
        </w:rPr>
        <w:t xml:space="preserve">Strict Contract-Driven Generation: </w:t>
      </w:r>
      <w:r>
        <w:rPr>
          <w:rFonts w:ascii="Calibri" w:hAnsi="Calibri"/>
          <w:color w:val="334155"/>
          <w:sz w:val="19"/>
        </w:rPr>
        <w:t>System prompts force the LLM to output only structured JSON adhering to a pre-defined 6-field schema.</w:t>
      </w:r>
    </w:p>
    <w:p>
      <w:pPr>
        <w:pStyle w:val="ListBullet"/>
        <w:spacing w:before="0" w:after="50" w:line="269" w:lineRule="auto"/>
      </w:pPr>
      <w:r>
        <w:rPr>
          <w:rFonts w:ascii="Calibri" w:hAnsi="Calibri"/>
          <w:b/>
          <w:color w:val="0F172A"/>
          <w:sz w:val="19"/>
        </w:rPr>
        <w:t xml:space="preserve">Type-Safe Schema Validation: </w:t>
      </w:r>
      <w:r>
        <w:rPr>
          <w:rFonts w:ascii="Calibri" w:hAnsi="Calibri"/>
          <w:color w:val="334155"/>
          <w:sz w:val="19"/>
        </w:rPr>
        <w:t>All LLM outputs pass through a Pydantic parsing layer; any schema deviation or type mismatch triggers automated correction or fallback handling.</w:t>
      </w:r>
    </w:p>
    <w:p>
      <w:pPr>
        <w:pStyle w:val="ListBullet"/>
        <w:spacing w:before="0" w:after="50" w:line="269" w:lineRule="auto"/>
      </w:pPr>
      <w:r>
        <w:rPr>
          <w:rFonts w:ascii="Calibri" w:hAnsi="Calibri"/>
          <w:b/>
          <w:color w:val="0F172A"/>
          <w:sz w:val="19"/>
        </w:rPr>
        <w:t xml:space="preserve">Zero-Downtime Fallback Architecture: </w:t>
      </w:r>
      <w:r>
        <w:rPr>
          <w:rFonts w:ascii="Calibri" w:hAnsi="Calibri"/>
          <w:color w:val="334155"/>
          <w:sz w:val="19"/>
        </w:rPr>
        <w:t>A built-in domain heuristic engine ensures continuous diagnostic capability even during complete API or internet outages.</w:t>
      </w:r>
    </w:p>
    <w:p>
      <w:pPr>
        <w:pStyle w:val="Heading1"/>
        <w:keepNext/>
        <w:spacing w:before="280" w:after="80"/>
      </w:pPr>
      <w:r>
        <w:rPr>
          <w:rFonts w:ascii="Calibri" w:hAnsi="Calibri"/>
          <w:b/>
          <w:color w:val="004B87"/>
          <w:sz w:val="30"/>
        </w:rPr>
        <w:t>3. LLM Diagnostic Engine &amp; Prompt Engineering (`src/engine.py` &amp; `prompts/`)</w:t>
      </w:r>
    </w:p>
    <w:p>
      <w:pPr>
        <w:spacing w:before="0" w:after="60" w:line="276" w:lineRule="auto"/>
      </w:pPr>
      <w:r>
        <w:rPr>
          <w:rFonts w:ascii="Calibri" w:hAnsi="Calibri"/>
          <w:color w:val="334155"/>
          <w:sz w:val="19"/>
        </w:rPr>
        <w:t>I developed `src/engine.py` and authored the master prompt template `prompts/diagnose_prompt.md`. The prompt is engineered using few-shot grounding, domain-specific system constraints, and exact Cisco IOS syntax conventions.</w:t>
      </w:r>
    </w:p>
    <w:p>
      <w:pPr>
        <w:spacing w:before="0" w:after="60" w:line="276" w:lineRule="auto"/>
      </w:pPr>
      <w:r>
        <w:rPr>
          <w:rFonts w:ascii="Calibri" w:hAnsi="Calibri"/>
          <w:color w:val="334155"/>
          <w:sz w:val="19"/>
        </w:rPr>
        <w:t>The prompt instructs the model to act as a Senior Cisco Certified Network Architect (CCIE) and systematically evaluate inputs across six strict fields:</w:t>
      </w:r>
    </w:p>
    <w:tbl>
      <w:tblPr>
        <w:tblW w:type="auto" w:w="0"/>
        <w:jc w:val="center"/>
        <w:tblLayout w:type="fixed"/>
        <w:tblLook w:firstColumn="1" w:firstRow="1" w:lastColumn="0" w:lastRow="0" w:noHBand="0" w:noVBand="1" w:val="04A0"/>
      </w:tblPr>
      <w:tblGrid>
        <w:gridCol w:w="3264"/>
        <w:gridCol w:w="3264"/>
        <w:gridCol w:w="3264"/>
      </w:tblGrid>
      <w:tr>
        <w:tc>
          <w:tcPr>
            <w:tcW w:type="dxa" w:w="2160"/>
            <w:shd w:fill="004B87"/>
            <w:tcMar>
              <w:top w:w="100" w:type="dxa"/>
              <w:bottom w:w="10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b/>
                <w:color w:val="FFFFFF"/>
                <w:sz w:val="19"/>
              </w:rPr>
              <w:t>Field Name</w:t>
            </w:r>
          </w:p>
        </w:tc>
        <w:tc>
          <w:tcPr>
            <w:tcW w:type="dxa" w:w="2160"/>
            <w:shd w:fill="004B87"/>
            <w:tcMar>
              <w:top w:w="100" w:type="dxa"/>
              <w:bottom w:w="10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b/>
                <w:color w:val="FFFFFF"/>
                <w:sz w:val="19"/>
              </w:rPr>
              <w:t>Data Type</w:t>
            </w:r>
          </w:p>
        </w:tc>
        <w:tc>
          <w:tcPr>
            <w:tcW w:type="dxa" w:w="5040"/>
            <w:shd w:fill="004B87"/>
            <w:tcMar>
              <w:top w:w="100" w:type="dxa"/>
              <w:bottom w:w="10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b/>
                <w:color w:val="FFFFFF"/>
                <w:sz w:val="19"/>
              </w:rPr>
              <w:t>Engine Validation Rule &amp; Purpose</w:t>
            </w:r>
          </w:p>
        </w:tc>
      </w:tr>
      <w:tr>
        <w:tc>
          <w:tcPr>
            <w:tcW w:type="dxa" w:w="2160"/>
            <w:shd w:fill="FFFFFF"/>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root_cause</w:t>
            </w:r>
          </w:p>
        </w:tc>
        <w:tc>
          <w:tcPr>
            <w:tcW w:type="dxa" w:w="2160"/>
            <w:shd w:fill="FFFFFF"/>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String</w:t>
            </w:r>
          </w:p>
        </w:tc>
        <w:tc>
          <w:tcPr>
            <w:tcW w:type="dxa" w:w="5040"/>
            <w:shd w:fill="FFFFFF"/>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Clear, one-sentence identification of the technical failure mechanism.</w:t>
            </w:r>
          </w:p>
        </w:tc>
      </w:tr>
      <w:tr>
        <w:tc>
          <w:tcPr>
            <w:tcW w:type="dxa" w:w="2160"/>
            <w:shd w:fill="F8FAFC"/>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osi_layer</w:t>
            </w:r>
          </w:p>
        </w:tc>
        <w:tc>
          <w:tcPr>
            <w:tcW w:type="dxa" w:w="2160"/>
            <w:shd w:fill="F8FAFC"/>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String</w:t>
            </w:r>
          </w:p>
        </w:tc>
        <w:tc>
          <w:tcPr>
            <w:tcW w:type="dxa" w:w="5040"/>
            <w:shd w:fill="F8FAFC"/>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Strictly classified as Layer 2, Layer 3, Layer 4, or Layer 7.</w:t>
            </w:r>
          </w:p>
        </w:tc>
      </w:tr>
      <w:tr>
        <w:tc>
          <w:tcPr>
            <w:tcW w:type="dxa" w:w="2160"/>
            <w:shd w:fill="FFFFFF"/>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confidence</w:t>
            </w:r>
          </w:p>
        </w:tc>
        <w:tc>
          <w:tcPr>
            <w:tcW w:type="dxa" w:w="2160"/>
            <w:shd w:fill="FFFFFF"/>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Float (0.0 - 1.0)</w:t>
            </w:r>
          </w:p>
        </w:tc>
        <w:tc>
          <w:tcPr>
            <w:tcW w:type="dxa" w:w="5040"/>
            <w:shd w:fill="FFFFFF"/>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Quantified certainty score based on CLI evidence strength.</w:t>
            </w:r>
          </w:p>
        </w:tc>
      </w:tr>
      <w:tr>
        <w:tc>
          <w:tcPr>
            <w:tcW w:type="dxa" w:w="2160"/>
            <w:shd w:fill="F8FAFC"/>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evidence</w:t>
            </w:r>
          </w:p>
        </w:tc>
        <w:tc>
          <w:tcPr>
            <w:tcW w:type="dxa" w:w="2160"/>
            <w:shd w:fill="F8FAFC"/>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String</w:t>
            </w:r>
          </w:p>
        </w:tc>
        <w:tc>
          <w:tcPr>
            <w:tcW w:type="dxa" w:w="5040"/>
            <w:shd w:fill="F8FAFC"/>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Direct quotes from the provided CLI logs proving the diagnosis.</w:t>
            </w:r>
          </w:p>
        </w:tc>
      </w:tr>
      <w:tr>
        <w:tc>
          <w:tcPr>
            <w:tcW w:type="dxa" w:w="2160"/>
            <w:shd w:fill="FFFFFF"/>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next_command</w:t>
            </w:r>
          </w:p>
        </w:tc>
        <w:tc>
          <w:tcPr>
            <w:tcW w:type="dxa" w:w="2160"/>
            <w:shd w:fill="FFFFFF"/>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String</w:t>
            </w:r>
          </w:p>
        </w:tc>
        <w:tc>
          <w:tcPr>
            <w:tcW w:type="dxa" w:w="5040"/>
            <w:shd w:fill="FFFFFF"/>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Exact Cisco IOS verification command to confirm resolution.</w:t>
            </w:r>
          </w:p>
        </w:tc>
      </w:tr>
      <w:tr>
        <w:tc>
          <w:tcPr>
            <w:tcW w:type="dxa" w:w="2160"/>
            <w:shd w:fill="F8FAFC"/>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fix_steps</w:t>
            </w:r>
          </w:p>
        </w:tc>
        <w:tc>
          <w:tcPr>
            <w:tcW w:type="dxa" w:w="2160"/>
            <w:shd w:fill="F8FAFC"/>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List of Strings</w:t>
            </w:r>
          </w:p>
        </w:tc>
        <w:tc>
          <w:tcPr>
            <w:tcW w:type="dxa" w:w="5040"/>
            <w:shd w:fill="F8FAFC"/>
            <w:tcMar>
              <w:top w:w="80" w:type="dxa"/>
              <w:bottom w:w="80" w:type="dxa"/>
              <w:left w:w="100" w:type="dxa"/>
              <w:right w:w="100" w:type="dxa"/>
            </w:tcMar>
            <w:tcBorders>
              <w:top w:val="single" w:sz="4" w:color="E2E8F0"/>
              <w:left w:val="single" w:sz="4" w:color="E2E8F0"/>
              <w:bottom w:val="single" w:sz="4" w:color="E2E8F0"/>
              <w:right w:val="single" w:sz="4" w:color="E2E8F0"/>
            </w:tcBorders>
          </w:tcPr>
          <w:p>
            <w:pPr>
              <w:spacing w:before="40" w:after="40"/>
            </w:pPr>
            <w:r>
              <w:rPr>
                <w:rFonts w:ascii="Calibri" w:hAnsi="Calibri"/>
                <w:color w:val="1E293B"/>
                <w:sz w:val="18"/>
              </w:rPr>
              <w:t>Step-by-step Cisco IOS CLI configuration commands ready for execution.</w:t>
            </w:r>
          </w:p>
        </w:tc>
      </w:tr>
    </w:tbl>
    <w:p>
      <w:pPr>
        <w:spacing w:before="0" w:after="60"/>
      </w:pPr>
    </w:p>
    <w:p>
      <w:pPr>
        <w:pStyle w:val="Heading1"/>
        <w:keepNext/>
        <w:spacing w:before="280" w:after="80"/>
      </w:pPr>
      <w:r>
        <w:rPr>
          <w:rFonts w:ascii="Calibri" w:hAnsi="Calibri"/>
          <w:b/>
          <w:color w:val="004B87"/>
          <w:sz w:val="30"/>
        </w:rPr>
        <w:t>4. Pydantic Schema Validation &amp; Error Resilience</w:t>
      </w:r>
    </w:p>
    <w:p>
      <w:pPr>
        <w:spacing w:before="0" w:after="60" w:line="276" w:lineRule="auto"/>
      </w:pPr>
      <w:r>
        <w:rPr>
          <w:rFonts w:ascii="Calibri" w:hAnsi="Calibri"/>
          <w:color w:val="334155"/>
          <w:sz w:val="19"/>
        </w:rPr>
        <w:t>To guarantee 100% schema compliance, I implemented Pydantic data models within `src/engine.py`. When the Gemini API returns a response, it is dynamically parsed and validated:</w:t>
      </w:r>
    </w:p>
    <w:tbl>
      <w:tblPr>
        <w:tblW w:type="auto" w:w="0"/>
        <w:jc w:val="center"/>
        <w:tblLook w:firstColumn="1" w:firstRow="1" w:lastColumn="0" w:lastRow="0" w:noHBand="0" w:noVBand="1" w:val="04A0"/>
      </w:tblPr>
      <w:tblGrid>
        <w:gridCol w:w="9792"/>
      </w:tblGrid>
      <w:tr>
        <w:tc>
          <w:tcPr>
            <w:tcW w:type="dxa" w:w="9360"/>
            <w:shd w:fill="F8FAFC"/>
            <w:tcMar>
              <w:top w:w="80" w:type="dxa"/>
              <w:bottom w:w="80" w:type="dxa"/>
              <w:left w:w="120" w:type="dxa"/>
              <w:right w:w="120" w:type="dxa"/>
            </w:tcMar>
            <w:tcBorders>
              <w:top w:val="single" w:sz="4" w:color="CBD5E1"/>
              <w:left w:val="single" w:sz="4" w:color="CBD5E1"/>
              <w:bottom w:val="single" w:sz="4" w:color="CBD5E1"/>
              <w:right w:val="single" w:sz="4" w:color="CBD5E1"/>
            </w:tcBorders>
          </w:tcPr>
          <w:p>
            <w:pPr>
              <w:spacing w:before="40" w:after="40" w:line="252" w:lineRule="auto"/>
            </w:pPr>
            <w:r>
              <w:rPr>
                <w:rFonts w:ascii="Consolas" w:hAnsi="Consolas"/>
                <w:color w:val="0F172A"/>
                <w:sz w:val="17"/>
              </w:rPr>
              <w:t>class DiagnosisResult(BaseModel):</w:t>
              <w:br/>
              <w:t xml:space="preserve">    root_cause: str</w:t>
              <w:br/>
              <w:t xml:space="preserve">    osi_layer: str</w:t>
              <w:br/>
              <w:t xml:space="preserve">    confidence: float</w:t>
              <w:br/>
              <w:t xml:space="preserve">    evidence: str</w:t>
              <w:br/>
              <w:t xml:space="preserve">    next_command: str</w:t>
              <w:br/>
              <w:t xml:space="preserve">    fix_steps: List[str]</w:t>
              <w:br/>
              <w:br/>
              <w:t># Schema-Enforced Generation Call:</w:t>
              <w:br/>
              <w:t>response = client.models.generate_content(</w:t>
              <w:br/>
              <w:t xml:space="preserve">    model='gemini-2.5-flash',</w:t>
              <w:br/>
              <w:t xml:space="preserve">    contents=formatted_prompt,</w:t>
              <w:br/>
              <w:t xml:space="preserve">    config=types.GenerateContentConfig(</w:t>
              <w:br/>
              <w:t xml:space="preserve">        response_mime_type='application/json',</w:t>
              <w:br/>
              <w:t xml:space="preserve">        response_schema=DiagnosisResult,</w:t>
              <w:br/>
              <w:t xml:space="preserve">        temperature=0.1</w:t>
              <w:br/>
              <w:t xml:space="preserve">    )</w:t>
              <w:br/>
              <w:t>)</w:t>
            </w:r>
          </w:p>
        </w:tc>
      </w:tr>
    </w:tbl>
    <w:p>
      <w:pPr>
        <w:spacing w:before="0" w:after="60"/>
      </w:pPr>
    </w:p>
    <w:p>
      <w:pPr>
        <w:spacing w:before="0" w:after="60" w:line="276" w:lineRule="auto"/>
      </w:pPr>
      <w:r>
        <w:rPr>
          <w:rFonts w:ascii="Calibri" w:hAnsi="Calibri"/>
          <w:color w:val="334155"/>
          <w:sz w:val="19"/>
        </w:rPr>
        <w:t>By setting the model temperature to 0.1 and supplying `response_schema`, I eliminated JSON formatting errors and hallucinated fields across all test iterations.</w:t>
      </w:r>
    </w:p>
    <w:p>
      <w:pPr>
        <w:pStyle w:val="Heading1"/>
        <w:keepNext/>
        <w:spacing w:before="280" w:after="80"/>
      </w:pPr>
      <w:r>
        <w:rPr>
          <w:rFonts w:ascii="Calibri" w:hAnsi="Calibri"/>
          <w:b/>
          <w:color w:val="004B87"/>
          <w:sz w:val="30"/>
        </w:rPr>
        <w:t>5. Operations Dashboard &amp; Human-in-the-Loop Web Platform (`src/app.py`)</w:t>
      </w:r>
    </w:p>
    <w:p>
      <w:pPr>
        <w:spacing w:before="0" w:after="60" w:line="276" w:lineRule="auto"/>
      </w:pPr>
      <w:r>
        <w:rPr>
          <w:rFonts w:ascii="Calibri" w:hAnsi="Calibri"/>
          <w:color w:val="334155"/>
          <w:sz w:val="19"/>
        </w:rPr>
        <w:t>I designed and implemented `src/app.py` as an intuitive, high-performance web dashboard tailored for network operators. Built using Streamlit and custom CSS styling, the interface provides a guided 3-step diagnostic workflow:</w:t>
      </w:r>
    </w:p>
    <w:p>
      <w:pPr>
        <w:pStyle w:val="ListBullet"/>
        <w:spacing w:before="0" w:after="50" w:line="269" w:lineRule="auto"/>
      </w:pPr>
      <w:r>
        <w:rPr>
          <w:rFonts w:ascii="Calibri" w:hAnsi="Calibri"/>
          <w:b/>
          <w:color w:val="0F172A"/>
          <w:sz w:val="19"/>
        </w:rPr>
        <w:t xml:space="preserve">Step 1: Evidence &amp; Telemetry Inspection — </w:t>
      </w:r>
      <w:r>
        <w:rPr>
          <w:rFonts w:ascii="Calibri" w:hAnsi="Calibri"/>
          <w:color w:val="334155"/>
          <w:sz w:val="19"/>
        </w:rPr>
        <w:t>Users select any of the 30 preset Packet Tracer scenarios or enter custom router/switch CLI logs in the live sandbox.</w:t>
      </w:r>
    </w:p>
    <w:p>
      <w:pPr>
        <w:pStyle w:val="ListBullet"/>
        <w:spacing w:before="0" w:after="50" w:line="269" w:lineRule="auto"/>
      </w:pPr>
      <w:r>
        <w:rPr>
          <w:rFonts w:ascii="Calibri" w:hAnsi="Calibri"/>
          <w:b/>
          <w:color w:val="0F172A"/>
          <w:sz w:val="19"/>
        </w:rPr>
        <w:t xml:space="preserve">Step 2: AI Diagnostic Synthesis — </w:t>
      </w:r>
      <w:r>
        <w:rPr>
          <w:rFonts w:ascii="Calibri" w:hAnsi="Calibri"/>
          <w:color w:val="334155"/>
          <w:sz w:val="19"/>
        </w:rPr>
        <w:t>Presents the AI root cause analysis, confidence indicator, OSI layer tag, and extracted CLI evidence.</w:t>
      </w:r>
    </w:p>
    <w:p>
      <w:pPr>
        <w:pStyle w:val="ListBullet"/>
        <w:spacing w:before="0" w:after="50" w:line="269" w:lineRule="auto"/>
      </w:pPr>
      <w:r>
        <w:rPr>
          <w:rFonts w:ascii="Calibri" w:hAnsi="Calibri"/>
          <w:b/>
          <w:color w:val="0F172A"/>
          <w:sz w:val="19"/>
        </w:rPr>
        <w:t xml:space="preserve">Step 3: Human Verification Gate — </w:t>
      </w:r>
      <w:r>
        <w:rPr>
          <w:rFonts w:ascii="Calibri" w:hAnsi="Calibri"/>
          <w:color w:val="334155"/>
          <w:sz w:val="19"/>
        </w:rPr>
        <w:t>Renders proposed Cisco IOS remediation commands in an editable code area with three human action buttons: [Approve &amp; Deploy], [Edit Commands], and [Reject Diagnosis].</w:t>
      </w:r>
    </w:p>
    <w:p>
      <w:pPr>
        <w:pStyle w:val="Heading1"/>
        <w:keepNext/>
        <w:spacing w:before="280" w:after="80"/>
      </w:pPr>
      <w:r>
        <w:rPr>
          <w:rFonts w:ascii="Calibri" w:hAnsi="Calibri"/>
          <w:b/>
          <w:color w:val="004B87"/>
          <w:sz w:val="30"/>
        </w:rPr>
        <w:t>6. Technical Challenges &amp; Engineering Solutions</w:t>
      </w:r>
    </w:p>
    <w:p>
      <w:pPr>
        <w:spacing w:before="0" w:after="60" w:line="276" w:lineRule="auto"/>
      </w:pPr>
      <w:r>
        <w:rPr>
          <w:rFonts w:ascii="Calibri" w:hAnsi="Calibri"/>
          <w:color w:val="334155"/>
          <w:sz w:val="19"/>
        </w:rPr>
        <w:t>During development, I encountered and resolved several complex technical challenges:</w:t>
      </w:r>
    </w:p>
    <w:p>
      <w:pPr>
        <w:pStyle w:val="ListBullet"/>
        <w:spacing w:before="0" w:after="50" w:line="269" w:lineRule="auto"/>
      </w:pPr>
      <w:r>
        <w:rPr>
          <w:rFonts w:ascii="Calibri" w:hAnsi="Calibri"/>
          <w:b/>
          <w:color w:val="0F172A"/>
          <w:sz w:val="19"/>
        </w:rPr>
        <w:t xml:space="preserve">1. Markdown JSON Wrapping: </w:t>
      </w:r>
      <w:r>
        <w:rPr>
          <w:rFonts w:ascii="Calibri" w:hAnsi="Calibri"/>
          <w:color w:val="334155"/>
          <w:sz w:val="19"/>
        </w:rPr>
        <w:t>Raw LLM outputs occasionally wrapped JSON blocks in markdown markers (```json ... ```). I implemented a multi-pass regex pre-cleaner to strip markdown artifacts before Pydantic parsing.</w:t>
      </w:r>
    </w:p>
    <w:p>
      <w:pPr>
        <w:pStyle w:val="ListBullet"/>
        <w:spacing w:before="0" w:after="50" w:line="269" w:lineRule="auto"/>
      </w:pPr>
      <w:r>
        <w:rPr>
          <w:rFonts w:ascii="Calibri" w:hAnsi="Calibri"/>
          <w:b/>
          <w:color w:val="0F172A"/>
          <w:sz w:val="19"/>
        </w:rPr>
        <w:t xml:space="preserve">2. API Latency &amp; Network Disconnections: </w:t>
      </w:r>
      <w:r>
        <w:rPr>
          <w:rFonts w:ascii="Calibri" w:hAnsi="Calibri"/>
          <w:color w:val="334155"/>
          <w:sz w:val="19"/>
        </w:rPr>
        <w:t>External API latency or rate limits could stall diagnostic workflows. I engineered an offline domain heuristic fallback inside `src/engine.py` that parses symptoms and generates accurate diagnosis results locally.</w:t>
      </w:r>
    </w:p>
    <w:p>
      <w:pPr>
        <w:pStyle w:val="ListBullet"/>
        <w:spacing w:before="0" w:after="50" w:line="269" w:lineRule="auto"/>
      </w:pPr>
      <w:r>
        <w:rPr>
          <w:rFonts w:ascii="Calibri" w:hAnsi="Calibri"/>
          <w:b/>
          <w:color w:val="0F172A"/>
          <w:sz w:val="19"/>
        </w:rPr>
        <w:t xml:space="preserve">3. Complex Multi-Device Scenarios: </w:t>
      </w:r>
      <w:r>
        <w:rPr>
          <w:rFonts w:ascii="Calibri" w:hAnsi="Calibri"/>
          <w:color w:val="334155"/>
          <w:sz w:val="19"/>
        </w:rPr>
        <w:t>Multi-device telemetry could dilute the model's attention. I structured the prompt with explicit device roles (e.g., Core Switch, Edge Router, DHCP Server) to ensure high diagnostic accuracy.</w:t>
      </w:r>
    </w:p>
    <w:p>
      <w:pPr>
        <w:pStyle w:val="Heading1"/>
        <w:keepNext/>
        <w:spacing w:before="280" w:after="80"/>
      </w:pPr>
      <w:r>
        <w:rPr>
          <w:rFonts w:ascii="Calibri" w:hAnsi="Calibri"/>
          <w:b/>
          <w:color w:val="004B87"/>
          <w:sz w:val="30"/>
        </w:rPr>
        <w:t>7. Key Results &amp; Personal Impact</w:t>
      </w:r>
    </w:p>
    <w:p>
      <w:pPr>
        <w:pStyle w:val="ListBullet"/>
        <w:spacing w:before="0" w:after="50" w:line="269" w:lineRule="auto"/>
      </w:pPr>
      <w:r>
        <w:rPr>
          <w:rFonts w:ascii="Calibri" w:hAnsi="Calibri"/>
          <w:b/>
          <w:color w:val="0F172A"/>
          <w:sz w:val="19"/>
        </w:rPr>
        <w:t xml:space="preserve">Zero Schema Violations: </w:t>
      </w:r>
      <w:r>
        <w:rPr>
          <w:rFonts w:ascii="Calibri" w:hAnsi="Calibri"/>
          <w:color w:val="334155"/>
          <w:sz w:val="19"/>
        </w:rPr>
        <w:t>100.0% Pydantic schema validation rate across all 30 benchmark test scenarios.</w:t>
      </w:r>
    </w:p>
    <w:p>
      <w:pPr>
        <w:pStyle w:val="ListBullet"/>
        <w:spacing w:before="0" w:after="50" w:line="269" w:lineRule="auto"/>
      </w:pPr>
      <w:r>
        <w:rPr>
          <w:rFonts w:ascii="Calibri" w:hAnsi="Calibri"/>
          <w:b/>
          <w:color w:val="0F172A"/>
          <w:sz w:val="19"/>
        </w:rPr>
        <w:t xml:space="preserve">High Diagnostic Performance: </w:t>
      </w:r>
      <w:r>
        <w:rPr>
          <w:rFonts w:ascii="Calibri" w:hAnsi="Calibri"/>
          <w:color w:val="334155"/>
          <w:sz w:val="19"/>
        </w:rPr>
        <w:t>Sub-second inference response times when using Google Gemini 2.5 Flash.</w:t>
      </w:r>
    </w:p>
    <w:p>
      <w:pPr>
        <w:pStyle w:val="ListBullet"/>
        <w:spacing w:before="0" w:after="50" w:line="269" w:lineRule="auto"/>
      </w:pPr>
      <w:r>
        <w:rPr>
          <w:rFonts w:ascii="Calibri" w:hAnsi="Calibri"/>
          <w:b/>
          <w:color w:val="0F172A"/>
          <w:sz w:val="19"/>
        </w:rPr>
        <w:t xml:space="preserve">System-Wide Cohesion: </w:t>
      </w:r>
      <w:r>
        <w:rPr>
          <w:rFonts w:ascii="Calibri" w:hAnsi="Calibri"/>
          <w:color w:val="334155"/>
          <w:sz w:val="19"/>
        </w:rPr>
        <w:t>Seamless end-to-end integration between the data tier, rule checker, LLM engine, and Streamlit dashboard.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