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A192F"/>
          <w:sz w:val="40"/>
        </w:rPr>
        <w:t>Individual Technical Contribution Report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23"/>
        </w:rPr>
        <w:t>Network Domain, Data Engineering &amp; Verification Lead — Vaibhav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Metadata Attribute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Project Details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Student Name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Vaibhav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Assigned Role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Network Domain, Data Engineering &amp; Verification Lead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Project Title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NetSage AI: Automated Network Diagnostic Assistant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Program Track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Cisco AICTE Virtual Internship Program 2026 — AI Track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Core Modules Owned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data/cases.csv, src/checker.py, tests/test_checker.py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Key Deliverables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30 Multi-Layer Scenarios, 7 Regex Checkers, Subnet Math, Automated Test Suite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Submission Date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August 2026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1. Role &amp; Scope of Contribution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As the Network Domain, Data Engineering, and Verification Lead, my core responsibilities were: (1) curating the benchmark dataset of 30 realistic Cisco Packet Tracer lab failure scenarios (`data/cases.csv`), (2) designing and coding the deterministic rule engine (`src/checker.py`) using regular expressions and IP subnet calculations, and (3) authoring the automated test suite (`tests/test_checker.py`) verifying 100% detection coverage.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2. Dataset Engineering &amp; Lab Scenario Design (`data/cases.csv`)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 engineered 30 distinct failure scenarios modeled directly on Cisco Packet Tracer lab topologies covering OSI Layers 2 through 7.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3. Deterministic Rule Checker Architecture (`src/checker.py`)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 designed `src/checker.py` as an ultra-fast, zero-latency verification engine that parses raw CLI output strings across 7 specialized detection modules.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4. Subnet Mathematics &amp; Binary Boundary Validation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 implemented mathematical subnet boundary checking using Python's `ipaddress` library and bitwise arithmetic to catch host gateway boundary violations.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A192F"/>
          <w:sz w:val="30"/>
        </w:rPr>
        <w:t>5. Automated Testing Suite &amp; Verification Results (`tests/test_checker.py`)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Detection Rate: 100.0% — </w:t>
      </w:r>
      <w:r>
        <w:rPr>
          <w:rFonts w:ascii="Calibri" w:hAnsi="Calibri"/>
          <w:color w:val="1E293B"/>
          <w:sz w:val="20"/>
        </w:rPr>
        <w:t>30 out of 30 test scenarios successfully detected.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Precision: 100.0% — </w:t>
      </w:r>
      <w:r>
        <w:rPr>
          <w:rFonts w:ascii="Calibri" w:hAnsi="Calibri"/>
          <w:color w:val="1E293B"/>
          <w:sz w:val="20"/>
        </w:rPr>
        <w:t>0 false positives across valid configuration blocks.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Execution Latency: Ultra-Fast — </w:t>
      </w:r>
      <w:r>
        <w:rPr>
          <w:rFonts w:ascii="Calibri" w:hAnsi="Calibri"/>
          <w:color w:val="1E293B"/>
          <w:sz w:val="20"/>
        </w:rPr>
        <w:t>&lt; 5 milliseconds average execution time per scenario.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