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A192F"/>
          <w:sz w:val="40"/>
        </w:rPr>
        <w:t>NetSage AI: Automated Network Diagnostic Assistant</w:t>
      </w:r>
    </w:p>
    <w:p>
      <w:pPr>
        <w:spacing w:after="240"/>
        <w:jc w:val="center"/>
      </w:pPr>
      <w:r>
        <w:rPr>
          <w:rFonts w:ascii="Calibri" w:hAnsi="Calibri"/>
          <w:color w:val="475569"/>
          <w:sz w:val="23"/>
        </w:rPr>
        <w:t>Comprehensive Technical Architecture, Diagnostic Pipeline &amp; Evaluation Report</w:t>
      </w:r>
    </w:p>
    <w:tbl>
      <w:tblPr>
        <w:tblW w:type="auto" w:w="0"/>
        <w:jc w:val="center"/>
        <w:tblLook w:firstColumn="1" w:firstRow="1" w:lastColumn="0" w:lastRow="0" w:noHBand="0" w:noVBand="1" w:val="04A0"/>
      </w:tblPr>
      <w:tblGrid>
        <w:gridCol w:w="4968"/>
        <w:gridCol w:w="4968"/>
      </w:tblGrid>
      <w:tr>
        <w:tc>
          <w:tcPr>
            <w:tcW w:type="dxa" w:w="3312"/>
            <w:shd w:fill="1E3A8A"/>
            <w:tcMar>
              <w:top w:w="120" w:type="dxa"/>
              <w:bottom w:w="120" w:type="dxa"/>
              <w:left w:w="120" w:type="dxa"/>
              <w:right w:w="120" w:type="dxa"/>
            </w:tcMar>
          </w:tcPr>
          <w:p>
            <w:pPr>
              <w:spacing w:after="0"/>
              <w:jc w:val="left"/>
            </w:pPr>
            <w:r>
              <w:rPr>
                <w:rFonts w:ascii="Calibri" w:hAnsi="Calibri"/>
                <w:b/>
                <w:color w:val="FFFFFF"/>
                <w:sz w:val="19"/>
              </w:rPr>
              <w:t>Metadata Attribute</w:t>
            </w:r>
          </w:p>
        </w:tc>
        <w:tc>
          <w:tcPr>
            <w:tcW w:type="dxa" w:w="6048"/>
            <w:shd w:fill="1E3A8A"/>
            <w:tcMar>
              <w:top w:w="120" w:type="dxa"/>
              <w:bottom w:w="120" w:type="dxa"/>
              <w:left w:w="120" w:type="dxa"/>
              <w:right w:w="120" w:type="dxa"/>
            </w:tcMar>
          </w:tcPr>
          <w:p>
            <w:pPr>
              <w:spacing w:after="0"/>
              <w:jc w:val="left"/>
            </w:pPr>
            <w:r>
              <w:rPr>
                <w:rFonts w:ascii="Calibri" w:hAnsi="Calibri"/>
                <w:b/>
                <w:color w:val="FFFFFF"/>
                <w:sz w:val="19"/>
              </w:rPr>
              <w:t>Project Details</w:t>
            </w:r>
          </w:p>
        </w:tc>
      </w:tr>
      <w:tr>
        <w:tc>
          <w:tcPr>
            <w:tcW w:type="dxa" w:w="3312"/>
            <w:shd w:fill="F8FAFC"/>
            <w:tcMar>
              <w:top w:w="100" w:type="dxa"/>
              <w:bottom w:w="100" w:type="dxa"/>
              <w:left w:w="120" w:type="dxa"/>
              <w:right w:w="120" w:type="dxa"/>
            </w:tcMar>
          </w:tcPr>
          <w:p>
            <w:pPr>
              <w:spacing w:after="0" w:line="276" w:lineRule="auto"/>
              <w:jc w:val="left"/>
            </w:pPr>
            <w:r>
              <w:rPr>
                <w:rFonts w:ascii="Calibri" w:hAnsi="Calibri"/>
                <w:color w:val="1E293B"/>
                <w:sz w:val="18"/>
              </w:rPr>
              <w:t>Project Title</w:t>
            </w:r>
          </w:p>
        </w:tc>
        <w:tc>
          <w:tcPr>
            <w:tcW w:type="dxa" w:w="6048"/>
            <w:shd w:fill="F8FAFC"/>
            <w:tcMar>
              <w:top w:w="100" w:type="dxa"/>
              <w:bottom w:w="100" w:type="dxa"/>
              <w:left w:w="120" w:type="dxa"/>
              <w:right w:w="120" w:type="dxa"/>
            </w:tcMar>
          </w:tcPr>
          <w:p>
            <w:pPr>
              <w:spacing w:after="0" w:line="276" w:lineRule="auto"/>
              <w:jc w:val="left"/>
            </w:pPr>
            <w:r>
              <w:rPr>
                <w:rFonts w:ascii="Calibri" w:hAnsi="Calibri"/>
                <w:color w:val="1E293B"/>
                <w:sz w:val="18"/>
              </w:rPr>
              <w:t>NetSage AI: Automated Network Diagnostic Assistant</w:t>
            </w:r>
          </w:p>
        </w:tc>
      </w:tr>
      <w:tr>
        <w:tc>
          <w:tcPr>
            <w:tcW w:type="dxa" w:w="3312"/>
            <w:shd w:fill="FFFFFF"/>
            <w:tcMar>
              <w:top w:w="100" w:type="dxa"/>
              <w:bottom w:w="100" w:type="dxa"/>
              <w:left w:w="120" w:type="dxa"/>
              <w:right w:w="120" w:type="dxa"/>
            </w:tcMar>
          </w:tcPr>
          <w:p>
            <w:pPr>
              <w:spacing w:after="0" w:line="276" w:lineRule="auto"/>
              <w:jc w:val="left"/>
            </w:pPr>
            <w:r>
              <w:rPr>
                <w:rFonts w:ascii="Calibri" w:hAnsi="Calibri"/>
                <w:color w:val="1E293B"/>
                <w:sz w:val="18"/>
              </w:rPr>
              <w:t>Program Name</w:t>
            </w:r>
          </w:p>
        </w:tc>
        <w:tc>
          <w:tcPr>
            <w:tcW w:type="dxa" w:w="6048"/>
            <w:shd w:fill="FFFFFF"/>
            <w:tcMar>
              <w:top w:w="100" w:type="dxa"/>
              <w:bottom w:w="100" w:type="dxa"/>
              <w:left w:w="120" w:type="dxa"/>
              <w:right w:w="120" w:type="dxa"/>
            </w:tcMar>
          </w:tcPr>
          <w:p>
            <w:pPr>
              <w:spacing w:after="0" w:line="276" w:lineRule="auto"/>
              <w:jc w:val="left"/>
            </w:pPr>
            <w:r>
              <w:rPr>
                <w:rFonts w:ascii="Calibri" w:hAnsi="Calibri"/>
                <w:color w:val="1E293B"/>
                <w:sz w:val="18"/>
              </w:rPr>
              <w:t>Cisco AICTE Virtual Internship Program 2026</w:t>
            </w:r>
          </w:p>
        </w:tc>
      </w:tr>
      <w:tr>
        <w:tc>
          <w:tcPr>
            <w:tcW w:type="dxa" w:w="3312"/>
            <w:shd w:fill="F8FAFC"/>
            <w:tcMar>
              <w:top w:w="100" w:type="dxa"/>
              <w:bottom w:w="100" w:type="dxa"/>
              <w:left w:w="120" w:type="dxa"/>
              <w:right w:w="120" w:type="dxa"/>
            </w:tcMar>
          </w:tcPr>
          <w:p>
            <w:pPr>
              <w:spacing w:after="0" w:line="276" w:lineRule="auto"/>
              <w:jc w:val="left"/>
            </w:pPr>
            <w:r>
              <w:rPr>
                <w:rFonts w:ascii="Calibri" w:hAnsi="Calibri"/>
                <w:color w:val="1E293B"/>
                <w:sz w:val="18"/>
              </w:rPr>
              <w:t>Track &amp; Project</w:t>
            </w:r>
          </w:p>
        </w:tc>
        <w:tc>
          <w:tcPr>
            <w:tcW w:type="dxa" w:w="6048"/>
            <w:shd w:fill="F8FAFC"/>
            <w:tcMar>
              <w:top w:w="100" w:type="dxa"/>
              <w:bottom w:w="100" w:type="dxa"/>
              <w:left w:w="120" w:type="dxa"/>
              <w:right w:w="120" w:type="dxa"/>
            </w:tcMar>
          </w:tcPr>
          <w:p>
            <w:pPr>
              <w:spacing w:after="0" w:line="276" w:lineRule="auto"/>
              <w:jc w:val="left"/>
            </w:pPr>
            <w:r>
              <w:rPr>
                <w:rFonts w:ascii="Calibri" w:hAnsi="Calibri"/>
                <w:color w:val="1E293B"/>
                <w:sz w:val="18"/>
              </w:rPr>
              <w:t>AI Track — Project 2: Applied AI + Network Troubleshooting</w:t>
            </w:r>
          </w:p>
        </w:tc>
      </w:tr>
      <w:tr>
        <w:tc>
          <w:tcPr>
            <w:tcW w:type="dxa" w:w="3312"/>
            <w:shd w:fill="FFFFFF"/>
            <w:tcMar>
              <w:top w:w="100" w:type="dxa"/>
              <w:bottom w:w="100" w:type="dxa"/>
              <w:left w:w="120" w:type="dxa"/>
              <w:right w:w="120" w:type="dxa"/>
            </w:tcMar>
          </w:tcPr>
          <w:p>
            <w:pPr>
              <w:spacing w:after="0" w:line="276" w:lineRule="auto"/>
              <w:jc w:val="left"/>
            </w:pPr>
            <w:r>
              <w:rPr>
                <w:rFonts w:ascii="Calibri" w:hAnsi="Calibri"/>
                <w:color w:val="1E293B"/>
                <w:sz w:val="18"/>
              </w:rPr>
              <w:t>Project Team</w:t>
            </w:r>
          </w:p>
        </w:tc>
        <w:tc>
          <w:tcPr>
            <w:tcW w:type="dxa" w:w="6048"/>
            <w:shd w:fill="FFFFFF"/>
            <w:tcMar>
              <w:top w:w="100" w:type="dxa"/>
              <w:bottom w:w="100" w:type="dxa"/>
              <w:left w:w="120" w:type="dxa"/>
              <w:right w:w="120" w:type="dxa"/>
            </w:tcMar>
          </w:tcPr>
          <w:p>
            <w:pPr>
              <w:spacing w:after="0" w:line="276" w:lineRule="auto"/>
              <w:jc w:val="left"/>
            </w:pPr>
            <w:r>
              <w:rPr>
                <w:rFonts w:ascii="Calibri" w:hAnsi="Calibri"/>
                <w:color w:val="1E293B"/>
                <w:sz w:val="18"/>
              </w:rPr>
              <w:t>Shivanshu Yadav (Lead Contributor), Vaibhav (Core Contributor), Sudheer (Core Contributor)</w:t>
            </w:r>
          </w:p>
        </w:tc>
      </w:tr>
      <w:tr>
        <w:tc>
          <w:tcPr>
            <w:tcW w:type="dxa" w:w="3312"/>
            <w:shd w:fill="F8FAFC"/>
            <w:tcMar>
              <w:top w:w="100" w:type="dxa"/>
              <w:bottom w:w="100" w:type="dxa"/>
              <w:left w:w="120" w:type="dxa"/>
              <w:right w:w="120" w:type="dxa"/>
            </w:tcMar>
          </w:tcPr>
          <w:p>
            <w:pPr>
              <w:spacing w:after="0" w:line="276" w:lineRule="auto"/>
              <w:jc w:val="left"/>
            </w:pPr>
            <w:r>
              <w:rPr>
                <w:rFonts w:ascii="Calibri" w:hAnsi="Calibri"/>
                <w:color w:val="1E293B"/>
                <w:sz w:val="18"/>
              </w:rPr>
              <w:t>GitHub Repository</w:t>
            </w:r>
          </w:p>
        </w:tc>
        <w:tc>
          <w:tcPr>
            <w:tcW w:type="dxa" w:w="6048"/>
            <w:shd w:fill="F8FAFC"/>
            <w:tcMar>
              <w:top w:w="100" w:type="dxa"/>
              <w:bottom w:w="100" w:type="dxa"/>
              <w:left w:w="120" w:type="dxa"/>
              <w:right w:w="120" w:type="dxa"/>
            </w:tcMar>
          </w:tcPr>
          <w:p>
            <w:pPr>
              <w:spacing w:after="0" w:line="276" w:lineRule="auto"/>
              <w:jc w:val="left"/>
            </w:pPr>
            <w:r>
              <w:rPr>
                <w:rFonts w:ascii="Calibri" w:hAnsi="Calibri"/>
                <w:color w:val="1E293B"/>
                <w:sz w:val="18"/>
              </w:rPr>
              <w:t>https://github.com/code4nigel/Cisco_VIP_AI_Track_Project.git</w:t>
            </w:r>
          </w:p>
        </w:tc>
      </w:tr>
      <w:tr>
        <w:tc>
          <w:tcPr>
            <w:tcW w:type="dxa" w:w="3312"/>
            <w:shd w:fill="FFFFFF"/>
            <w:tcMar>
              <w:top w:w="100" w:type="dxa"/>
              <w:bottom w:w="100" w:type="dxa"/>
              <w:left w:w="120" w:type="dxa"/>
              <w:right w:w="120" w:type="dxa"/>
            </w:tcMar>
          </w:tcPr>
          <w:p>
            <w:pPr>
              <w:spacing w:after="0" w:line="276" w:lineRule="auto"/>
              <w:jc w:val="left"/>
            </w:pPr>
            <w:r>
              <w:rPr>
                <w:rFonts w:ascii="Calibri" w:hAnsi="Calibri"/>
                <w:color w:val="1E293B"/>
                <w:sz w:val="18"/>
              </w:rPr>
              <w:t>Target Platform</w:t>
            </w:r>
          </w:p>
        </w:tc>
        <w:tc>
          <w:tcPr>
            <w:tcW w:type="dxa" w:w="6048"/>
            <w:shd w:fill="FFFFFF"/>
            <w:tcMar>
              <w:top w:w="100" w:type="dxa"/>
              <w:bottom w:w="100" w:type="dxa"/>
              <w:left w:w="120" w:type="dxa"/>
              <w:right w:w="120" w:type="dxa"/>
            </w:tcMar>
          </w:tcPr>
          <w:p>
            <w:pPr>
              <w:spacing w:after="0" w:line="276" w:lineRule="auto"/>
              <w:jc w:val="left"/>
            </w:pPr>
            <w:r>
              <w:rPr>
                <w:rFonts w:ascii="Calibri" w:hAnsi="Calibri"/>
                <w:color w:val="1E293B"/>
                <w:sz w:val="18"/>
              </w:rPr>
              <w:t>Cisco Packet Tracer / Cisco IOS Enterprise Environments</w:t>
            </w:r>
          </w:p>
        </w:tc>
      </w:tr>
      <w:tr>
        <w:tc>
          <w:tcPr>
            <w:tcW w:type="dxa" w:w="3312"/>
            <w:shd w:fill="F8FAFC"/>
            <w:tcMar>
              <w:top w:w="100" w:type="dxa"/>
              <w:bottom w:w="100" w:type="dxa"/>
              <w:left w:w="120" w:type="dxa"/>
              <w:right w:w="120" w:type="dxa"/>
            </w:tcMar>
          </w:tcPr>
          <w:p>
            <w:pPr>
              <w:spacing w:after="0" w:line="276" w:lineRule="auto"/>
              <w:jc w:val="left"/>
            </w:pPr>
            <w:r>
              <w:rPr>
                <w:rFonts w:ascii="Calibri" w:hAnsi="Calibri"/>
                <w:color w:val="1E293B"/>
                <w:sz w:val="18"/>
              </w:rPr>
              <w:t>Evaluation Period</w:t>
            </w:r>
          </w:p>
        </w:tc>
        <w:tc>
          <w:tcPr>
            <w:tcW w:type="dxa" w:w="6048"/>
            <w:shd w:fill="F8FAFC"/>
            <w:tcMar>
              <w:top w:w="100" w:type="dxa"/>
              <w:bottom w:w="100" w:type="dxa"/>
              <w:left w:w="120" w:type="dxa"/>
              <w:right w:w="120" w:type="dxa"/>
            </w:tcMar>
          </w:tcPr>
          <w:p>
            <w:pPr>
              <w:spacing w:after="0" w:line="276" w:lineRule="auto"/>
              <w:jc w:val="left"/>
            </w:pPr>
            <w:r>
              <w:rPr>
                <w:rFonts w:ascii="Calibri" w:hAnsi="Calibri"/>
                <w:color w:val="1E293B"/>
                <w:sz w:val="18"/>
              </w:rPr>
              <w:t>August 2026</w:t>
            </w:r>
          </w:p>
        </w:tc>
      </w:tr>
      <w:tr>
        <w:tc>
          <w:tcPr>
            <w:tcW w:type="dxa" w:w="3312"/>
            <w:shd w:fill="FFFFFF"/>
            <w:tcMar>
              <w:top w:w="100" w:type="dxa"/>
              <w:bottom w:w="100" w:type="dxa"/>
              <w:left w:w="120" w:type="dxa"/>
              <w:right w:w="120" w:type="dxa"/>
            </w:tcMar>
          </w:tcPr>
          <w:p>
            <w:pPr>
              <w:spacing w:after="0" w:line="276" w:lineRule="auto"/>
              <w:jc w:val="left"/>
            </w:pPr>
            <w:r>
              <w:rPr>
                <w:rFonts w:ascii="Calibri" w:hAnsi="Calibri"/>
                <w:color w:val="1E293B"/>
                <w:sz w:val="18"/>
              </w:rPr>
              <w:t>Industry Mentors</w:t>
            </w:r>
          </w:p>
        </w:tc>
        <w:tc>
          <w:tcPr>
            <w:tcW w:type="dxa" w:w="6048"/>
            <w:shd w:fill="FFFFFF"/>
            <w:tcMar>
              <w:top w:w="100" w:type="dxa"/>
              <w:bottom w:w="100" w:type="dxa"/>
              <w:left w:w="120" w:type="dxa"/>
              <w:right w:w="120" w:type="dxa"/>
            </w:tcMar>
          </w:tcPr>
          <w:p>
            <w:pPr>
              <w:spacing w:after="0" w:line="276" w:lineRule="auto"/>
              <w:jc w:val="left"/>
            </w:pPr>
            <w:r>
              <w:rPr>
                <w:rFonts w:ascii="Calibri" w:hAnsi="Calibri"/>
                <w:color w:val="1E293B"/>
                <w:sz w:val="18"/>
              </w:rPr>
              <w:t>Mr. Lilesh Pathe &amp; Ms. Kuhu Sabui</w:t>
            </w:r>
          </w:p>
        </w:tc>
      </w:tr>
    </w:tbl>
    <w:p>
      <w:pPr>
        <w:spacing w:after="120"/>
      </w:pPr>
    </w:p>
    <w:p>
      <w:pPr>
        <w:pStyle w:val="Heading1"/>
        <w:keepNext/>
        <w:spacing w:before="280" w:after="120"/>
      </w:pPr>
      <w:r>
        <w:rPr>
          <w:rFonts w:ascii="Calibri" w:hAnsi="Calibri"/>
          <w:b/>
          <w:color w:val="0A192F"/>
          <w:sz w:val="30"/>
        </w:rPr>
        <w:t>1. Executive Summary &amp; Problem Context</w:t>
      </w:r>
    </w:p>
    <w:p>
      <w:pPr>
        <w:spacing w:after="120" w:line="276" w:lineRule="auto"/>
      </w:pPr>
      <w:r>
        <w:rPr>
          <w:rFonts w:ascii="Calibri" w:hAnsi="Calibri"/>
          <w:color w:val="1E293B"/>
          <w:sz w:val="21"/>
        </w:rPr>
        <w:t>Modern enterprise network infrastructures running Cisco IOS routers and switches encounter frequent misconfigurations across OSI Layers 2 through 7. In production environments and simulation labs (such as Cisco Packet Tracer), isolating the root cause of an outage requires executing diagnostic CLI commands, correlating syslog traces, and analyzing routing tables. Junior network administrators and students often struggle to connect ambiguous user symptoms to exact root causes, leading to extended network downtime.</w:t>
      </w:r>
    </w:p>
    <w:p>
      <w:pPr>
        <w:spacing w:after="120" w:line="276" w:lineRule="auto"/>
      </w:pPr>
      <w:r>
        <w:rPr>
          <w:rFonts w:ascii="Calibri" w:hAnsi="Calibri"/>
          <w:color w:val="1E293B"/>
          <w:sz w:val="21"/>
        </w:rPr>
        <w:t>While Generative AI and Large Language Models (LLMs) offer high-level reasoning over textual logs, deploying unconstrained autonomous AI directly onto network control planes introduces severe operational hazards. LLMs can hallucinate invalid interface identifiers, generate incorrect subnet masks, or issue disruptive commands (e.g., unintended interface reloads or gateway reconfigurations).</w:t>
      </w:r>
    </w:p>
    <w:p>
      <w:pPr>
        <w:spacing w:after="120" w:line="276" w:lineRule="auto"/>
      </w:pPr>
      <w:r>
        <w:rPr>
          <w:rFonts w:ascii="Calibri" w:hAnsi="Calibri"/>
          <w:color w:val="1E293B"/>
          <w:sz w:val="21"/>
        </w:rPr>
        <w:t>To resolve this critical challenge, the team developed NetSage AI—a production-ready, hybrid network diagnostic platform that unifies deterministic regex rule validation, structured LLM reasoning (Google Gemini 2.5 Flash), and a strict Human-in-the-Loop (HITL) execution gateway. NetSage AI achieves rapid root-cause identification while guaranteeing safety, transparency, and auditability.</w:t>
      </w:r>
    </w:p>
    <w:p>
      <w:pPr>
        <w:pStyle w:val="Heading1"/>
        <w:keepNext/>
        <w:spacing w:before="280" w:after="120"/>
      </w:pPr>
      <w:r>
        <w:rPr>
          <w:rFonts w:ascii="Calibri" w:hAnsi="Calibri"/>
          <w:b/>
          <w:color w:val="0A192F"/>
          <w:sz w:val="30"/>
        </w:rPr>
        <w:t>2. System Architecture &amp; Component Design</w:t>
      </w:r>
    </w:p>
    <w:p>
      <w:pPr>
        <w:spacing w:after="120" w:line="276" w:lineRule="auto"/>
      </w:pPr>
      <w:r>
        <w:rPr>
          <w:rFonts w:ascii="Calibri" w:hAnsi="Calibri"/>
          <w:color w:val="1E293B"/>
          <w:sz w:val="21"/>
        </w:rPr>
        <w:t>NetSage AI operates through a modular 4-tier pipeline designed for high performance and operational safety:</w:t>
      </w:r>
    </w:p>
    <w:p>
      <w:pPr>
        <w:pStyle w:val="ListBullet"/>
        <w:spacing w:after="80" w:line="276" w:lineRule="auto"/>
      </w:pPr>
      <w:r>
        <w:rPr>
          <w:rFonts w:ascii="Calibri" w:hAnsi="Calibri"/>
          <w:b/>
          <w:color w:val="0F172A"/>
          <w:sz w:val="20"/>
        </w:rPr>
        <w:t xml:space="preserve">1. Data Tier: </w:t>
      </w:r>
      <w:r>
        <w:rPr>
          <w:rFonts w:ascii="Calibri" w:hAnsi="Calibri"/>
          <w:color w:val="1E293B"/>
          <w:sz w:val="20"/>
        </w:rPr>
        <w:t>Curated dataset of 30 multi-layer failure scenarios modeled on Cisco Packet Tracer topologies (`data/cases.csv`).</w:t>
      </w:r>
    </w:p>
    <w:p>
      <w:pPr>
        <w:pStyle w:val="ListBullet"/>
        <w:spacing w:after="80" w:line="276" w:lineRule="auto"/>
      </w:pPr>
      <w:r>
        <w:rPr>
          <w:rFonts w:ascii="Calibri" w:hAnsi="Calibri"/>
          <w:b/>
          <w:color w:val="0F172A"/>
          <w:sz w:val="20"/>
        </w:rPr>
        <w:t xml:space="preserve">2. Deterministic Engine: </w:t>
      </w:r>
      <w:r>
        <w:rPr>
          <w:rFonts w:ascii="Calibri" w:hAnsi="Calibri"/>
          <w:color w:val="1E293B"/>
          <w:sz w:val="20"/>
        </w:rPr>
        <w:t>High-speed deterministic regex verification engine providing 100% mathematical guarantees for static misconfigurations (`src/checker.py`).</w:t>
      </w:r>
    </w:p>
    <w:p>
      <w:pPr>
        <w:pStyle w:val="ListBullet"/>
        <w:spacing w:after="80" w:line="276" w:lineRule="auto"/>
      </w:pPr>
      <w:r>
        <w:rPr>
          <w:rFonts w:ascii="Calibri" w:hAnsi="Calibri"/>
          <w:b/>
          <w:color w:val="0F172A"/>
          <w:sz w:val="20"/>
        </w:rPr>
        <w:t xml:space="preserve">3. Diagnostic AI Core: </w:t>
      </w:r>
      <w:r>
        <w:rPr>
          <w:rFonts w:ascii="Calibri" w:hAnsi="Calibri"/>
          <w:color w:val="1E293B"/>
          <w:sz w:val="20"/>
        </w:rPr>
        <w:t>Few-shot prompt orchestrator enforcing strict Pydantic JSON validation using Google Gemini 2.5 Flash with offline synthesis fallbacks (`src/engine.py`).</w:t>
      </w:r>
    </w:p>
    <w:p>
      <w:pPr>
        <w:pStyle w:val="ListBullet"/>
        <w:spacing w:after="80" w:line="276" w:lineRule="auto"/>
      </w:pPr>
      <w:r>
        <w:rPr>
          <w:rFonts w:ascii="Calibri" w:hAnsi="Calibri"/>
          <w:b/>
          <w:color w:val="0F172A"/>
          <w:sz w:val="20"/>
        </w:rPr>
        <w:t xml:space="preserve">4. Human-in-the-Loop Gateway: </w:t>
      </w:r>
      <w:r>
        <w:rPr>
          <w:rFonts w:ascii="Calibri" w:hAnsi="Calibri"/>
          <w:color w:val="1E293B"/>
          <w:sz w:val="20"/>
        </w:rPr>
        <w:t>Streamlit web application with interactive 3-step diagnostic flow, manual CLI command overrides, and action buttons [Approve &amp; Deploy], [Edit], and [Reject] (`src/app.py`).</w:t>
      </w:r>
    </w:p>
    <w:p>
      <w:pPr>
        <w:pStyle w:val="ListBullet"/>
        <w:spacing w:after="80" w:line="276" w:lineRule="auto"/>
      </w:pPr>
      <w:r>
        <w:rPr>
          <w:rFonts w:ascii="Calibri" w:hAnsi="Calibri"/>
          <w:b/>
          <w:color w:val="0F172A"/>
          <w:sz w:val="20"/>
        </w:rPr>
        <w:t xml:space="preserve">5. Governance &amp; Audit: </w:t>
      </w:r>
      <w:r>
        <w:rPr>
          <w:rFonts w:ascii="Calibri" w:hAnsi="Calibri"/>
          <w:color w:val="1E293B"/>
          <w:sz w:val="20"/>
        </w:rPr>
        <w:t>Verifiable audit logging system tracking human agreement rates, command diffs, and 5 detailed human override case studies (`documents/model_audit_log.md`).</w:t>
      </w:r>
    </w:p>
    <w:p>
      <w:pPr>
        <w:pStyle w:val="Heading1"/>
        <w:keepNext/>
        <w:spacing w:before="280" w:after="120"/>
      </w:pPr>
      <w:r>
        <w:rPr>
          <w:rFonts w:ascii="Calibri" w:hAnsi="Calibri"/>
          <w:b/>
          <w:color w:val="0A192F"/>
          <w:sz w:val="30"/>
        </w:rPr>
        <w:t>3. Dataset Taxonomy &amp; Multi-Layer Coverage (`data/cases.csv`)</w:t>
      </w:r>
    </w:p>
    <w:p>
      <w:pPr>
        <w:spacing w:after="120" w:line="276" w:lineRule="auto"/>
      </w:pPr>
      <w:r>
        <w:rPr>
          <w:rFonts w:ascii="Calibri" w:hAnsi="Calibri"/>
          <w:color w:val="1E293B"/>
          <w:sz w:val="21"/>
        </w:rPr>
        <w:t>The NetSage AI evaluation dataset encompasses 30 distinct scenarios spanning the complete OSI reference model:</w:t>
      </w:r>
    </w:p>
    <w:p>
      <w:pPr>
        <w:pStyle w:val="ListBullet"/>
        <w:spacing w:after="80" w:line="276" w:lineRule="auto"/>
      </w:pPr>
      <w:r>
        <w:rPr>
          <w:rFonts w:ascii="Calibri" w:hAnsi="Calibri"/>
          <w:b/>
          <w:color w:val="0F172A"/>
          <w:sz w:val="20"/>
        </w:rPr>
        <w:t xml:space="preserve">Layer 2 (Data Link): </w:t>
      </w:r>
      <w:r>
        <w:rPr>
          <w:rFonts w:ascii="Calibri" w:hAnsi="Calibri"/>
          <w:color w:val="1E293B"/>
          <w:sz w:val="20"/>
        </w:rPr>
        <w:t>8 scenarios covering 802.1Q trunking, native VLAN mismatches, access port misconfigurations, VTP domain casing, DAI trust, and Port Security violations.</w:t>
      </w:r>
    </w:p>
    <w:p>
      <w:pPr>
        <w:pStyle w:val="ListBullet"/>
        <w:spacing w:after="80" w:line="276" w:lineRule="auto"/>
      </w:pPr>
      <w:r>
        <w:rPr>
          <w:rFonts w:ascii="Calibri" w:hAnsi="Calibri"/>
          <w:b/>
          <w:color w:val="0F172A"/>
          <w:sz w:val="20"/>
        </w:rPr>
        <w:t xml:space="preserve">Layer 3 (Network): </w:t>
      </w:r>
      <w:r>
        <w:rPr>
          <w:rFonts w:ascii="Calibri" w:hAnsi="Calibri"/>
          <w:color w:val="1E293B"/>
          <w:sz w:val="20"/>
        </w:rPr>
        <w:t>15 scenarios covering sub-interface admin shutdowns, missing dot1Q encapsulation, OSPF Hello/Dead timer mismatches, passive interfaces, static route next-hop unreachability, subnet boundaries, host default gateway errors, duplicate IPs, HSRP timers, IPv6 SLAAC, and NAT/PAT overload keywords.</w:t>
      </w:r>
    </w:p>
    <w:p>
      <w:pPr>
        <w:pStyle w:val="ListBullet"/>
        <w:spacing w:after="80" w:line="276" w:lineRule="auto"/>
      </w:pPr>
      <w:r>
        <w:rPr>
          <w:rFonts w:ascii="Calibri" w:hAnsi="Calibri"/>
          <w:b/>
          <w:color w:val="0F172A"/>
          <w:sz w:val="20"/>
        </w:rPr>
        <w:t xml:space="preserve">Layer 4 (Transport): </w:t>
      </w:r>
      <w:r>
        <w:rPr>
          <w:rFonts w:ascii="Calibri" w:hAnsi="Calibri"/>
          <w:color w:val="1E293B"/>
          <w:sz w:val="20"/>
        </w:rPr>
        <w:t>3 scenarios evaluating Extended ACL rules blocking HTTP (port 80), HTTPS (port 443), and FTP control (port 21).</w:t>
      </w:r>
    </w:p>
    <w:p>
      <w:pPr>
        <w:pStyle w:val="ListBullet"/>
        <w:spacing w:after="80" w:line="276" w:lineRule="auto"/>
      </w:pPr>
      <w:r>
        <w:rPr>
          <w:rFonts w:ascii="Calibri" w:hAnsi="Calibri"/>
          <w:b/>
          <w:color w:val="0F172A"/>
          <w:sz w:val="20"/>
        </w:rPr>
        <w:t xml:space="preserve">Layer 7 (Application): </w:t>
      </w:r>
      <w:r>
        <w:rPr>
          <w:rFonts w:ascii="Calibri" w:hAnsi="Calibri"/>
          <w:color w:val="1E293B"/>
          <w:sz w:val="20"/>
        </w:rPr>
        <w:t>4 scenarios evaluating DHCP pool exhaustion, missing `ip helper-address` relays, disabled DNS lookup, and WPA2 Enterprise RADIUS pre-shared secret mismatches.</w:t>
      </w:r>
    </w:p>
    <w:p>
      <w:pPr>
        <w:pStyle w:val="Heading1"/>
        <w:keepNext/>
        <w:spacing w:before="280" w:after="120"/>
      </w:pPr>
      <w:r>
        <w:rPr>
          <w:rFonts w:ascii="Calibri" w:hAnsi="Calibri"/>
          <w:b/>
          <w:color w:val="0A192F"/>
          <w:sz w:val="30"/>
        </w:rPr>
        <w:t>4. Deterministic Rule Checker Architecture (`src/checker.py`)</w:t>
      </w:r>
    </w:p>
    <w:p>
      <w:pPr>
        <w:spacing w:after="120" w:line="276" w:lineRule="auto"/>
      </w:pPr>
      <w:r>
        <w:rPr>
          <w:rFonts w:ascii="Calibri" w:hAnsi="Calibri"/>
          <w:color w:val="1E293B"/>
          <w:sz w:val="21"/>
        </w:rPr>
        <w:t>To eliminate hallucinations and prevent dangerous autonomous commands on network infrastructure, `src/checker.py` implements 7 specialized regular-expression modules that execute in sub-milliseconds:</w:t>
      </w:r>
    </w:p>
    <w:tbl>
      <w:tblPr>
        <w:tblW w:type="auto" w:w="0"/>
        <w:jc w:val="center"/>
        <w:tblLook w:firstColumn="1" w:firstRow="1" w:lastColumn="0" w:lastRow="0" w:noHBand="0" w:noVBand="1" w:val="04A0"/>
      </w:tblPr>
      <w:tblGrid>
        <w:gridCol w:w="3312"/>
        <w:gridCol w:w="3312"/>
        <w:gridCol w:w="3312"/>
      </w:tblGrid>
      <w:tr>
        <w:tc>
          <w:tcPr>
            <w:tcW w:type="dxa" w:w="2592"/>
            <w:shd w:fill="1E3A8A"/>
            <w:tcMar>
              <w:top w:w="120" w:type="dxa"/>
              <w:bottom w:w="120" w:type="dxa"/>
              <w:left w:w="120" w:type="dxa"/>
              <w:right w:w="120" w:type="dxa"/>
            </w:tcMar>
          </w:tcPr>
          <w:p>
            <w:pPr>
              <w:spacing w:after="0"/>
              <w:jc w:val="left"/>
            </w:pPr>
            <w:r>
              <w:rPr>
                <w:rFonts w:ascii="Calibri" w:hAnsi="Calibri"/>
                <w:b/>
                <w:color w:val="FFFFFF"/>
                <w:sz w:val="19"/>
              </w:rPr>
              <w:t>Module Name</w:t>
            </w:r>
          </w:p>
        </w:tc>
        <w:tc>
          <w:tcPr>
            <w:tcW w:type="dxa" w:w="2592"/>
            <w:shd w:fill="1E3A8A"/>
            <w:tcMar>
              <w:top w:w="120" w:type="dxa"/>
              <w:bottom w:w="120" w:type="dxa"/>
              <w:left w:w="120" w:type="dxa"/>
              <w:right w:w="120" w:type="dxa"/>
            </w:tcMar>
          </w:tcPr>
          <w:p>
            <w:pPr>
              <w:spacing w:after="0"/>
              <w:jc w:val="left"/>
            </w:pPr>
            <w:r>
              <w:rPr>
                <w:rFonts w:ascii="Calibri" w:hAnsi="Calibri"/>
                <w:b/>
                <w:color w:val="FFFFFF"/>
                <w:sz w:val="19"/>
              </w:rPr>
              <w:t>Target CLI Commands</w:t>
            </w:r>
          </w:p>
        </w:tc>
        <w:tc>
          <w:tcPr>
            <w:tcW w:type="dxa" w:w="4176"/>
            <w:shd w:fill="1E3A8A"/>
            <w:tcMar>
              <w:top w:w="120" w:type="dxa"/>
              <w:bottom w:w="120" w:type="dxa"/>
              <w:left w:w="120" w:type="dxa"/>
              <w:right w:w="120" w:type="dxa"/>
            </w:tcMar>
          </w:tcPr>
          <w:p>
            <w:pPr>
              <w:spacing w:after="0"/>
              <w:jc w:val="left"/>
            </w:pPr>
            <w:r>
              <w:rPr>
                <w:rFonts w:ascii="Calibri" w:hAnsi="Calibri"/>
                <w:b/>
                <w:color w:val="FFFFFF"/>
                <w:sz w:val="19"/>
              </w:rPr>
              <w:t>Detection Mechanism &amp; Logic</w:t>
            </w:r>
          </w:p>
        </w:tc>
      </w:tr>
      <w:tr>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_check_interface_shutdown</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show ip int brief, show interfaces</w:t>
            </w:r>
          </w:p>
        </w:tc>
        <w:tc>
          <w:tcPr>
            <w:tcW w:type="dxa" w:w="4176"/>
            <w:shd w:fill="F8FAFC"/>
            <w:tcMar>
              <w:top w:w="100" w:type="dxa"/>
              <w:bottom w:w="100" w:type="dxa"/>
              <w:left w:w="120" w:type="dxa"/>
              <w:right w:w="120" w:type="dxa"/>
            </w:tcMar>
          </w:tcPr>
          <w:p>
            <w:pPr>
              <w:spacing w:after="0" w:line="276" w:lineRule="auto"/>
              <w:jc w:val="left"/>
            </w:pPr>
            <w:r>
              <w:rPr>
                <w:rFonts w:ascii="Calibri" w:hAnsi="Calibri"/>
                <w:color w:val="1E293B"/>
                <w:sz w:val="18"/>
              </w:rPr>
              <w:t>Regex tokenization matching 'administratively down', 'down / down', or 'shutdown'.</w:t>
            </w:r>
          </w:p>
        </w:tc>
      </w:tr>
      <w:tr>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_check_dhcp</w:t>
            </w:r>
          </w:p>
        </w:tc>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show ip dhcp pool, show run | inc helper</w:t>
            </w:r>
          </w:p>
        </w:tc>
        <w:tc>
          <w:tcPr>
            <w:tcW w:type="dxa" w:w="4176"/>
            <w:shd w:fill="FFFFFF"/>
            <w:tcMar>
              <w:top w:w="100" w:type="dxa"/>
              <w:bottom w:w="100" w:type="dxa"/>
              <w:left w:w="120" w:type="dxa"/>
              <w:right w:w="120" w:type="dxa"/>
            </w:tcMar>
          </w:tcPr>
          <w:p>
            <w:pPr>
              <w:spacing w:after="0" w:line="276" w:lineRule="auto"/>
              <w:jc w:val="left"/>
            </w:pPr>
            <w:r>
              <w:rPr>
                <w:rFonts w:ascii="Calibri" w:hAnsi="Calibri"/>
                <w:color w:val="1E293B"/>
                <w:sz w:val="18"/>
              </w:rPr>
              <w:t>Matches 0 available pool addresses or missing 'ip helper-address' on routed interfaces.</w:t>
            </w:r>
          </w:p>
        </w:tc>
      </w:tr>
      <w:tr>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_check_nat</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show run | inc nat, show ip nat trans</w:t>
            </w:r>
          </w:p>
        </w:tc>
        <w:tc>
          <w:tcPr>
            <w:tcW w:type="dxa" w:w="4176"/>
            <w:shd w:fill="F8FAFC"/>
            <w:tcMar>
              <w:top w:w="100" w:type="dxa"/>
              <w:bottom w:w="100" w:type="dxa"/>
              <w:left w:w="120" w:type="dxa"/>
              <w:right w:w="120" w:type="dxa"/>
            </w:tcMar>
          </w:tcPr>
          <w:p>
            <w:pPr>
              <w:spacing w:after="0" w:line="276" w:lineRule="auto"/>
              <w:jc w:val="left"/>
            </w:pPr>
            <w:r>
              <w:rPr>
                <w:rFonts w:ascii="Calibri" w:hAnsi="Calibri"/>
                <w:color w:val="1E293B"/>
                <w:sz w:val="18"/>
              </w:rPr>
              <w:t>Flags 'ip nat inside source list' statements missing the critical 'overload' keyword.</w:t>
            </w:r>
          </w:p>
        </w:tc>
      </w:tr>
      <w:tr>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_check_routing</w:t>
            </w:r>
          </w:p>
        </w:tc>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show ip ospf neighbor, show ip route</w:t>
            </w:r>
          </w:p>
        </w:tc>
        <w:tc>
          <w:tcPr>
            <w:tcW w:type="dxa" w:w="4176"/>
            <w:shd w:fill="FFFFFF"/>
            <w:tcMar>
              <w:top w:w="100" w:type="dxa"/>
              <w:bottom w:w="100" w:type="dxa"/>
              <w:left w:w="120" w:type="dxa"/>
              <w:right w:w="120" w:type="dxa"/>
            </w:tcMar>
          </w:tcPr>
          <w:p>
            <w:pPr>
              <w:spacing w:after="0" w:line="276" w:lineRule="auto"/>
              <w:jc w:val="left"/>
            </w:pPr>
            <w:r>
              <w:rPr>
                <w:rFonts w:ascii="Calibri" w:hAnsi="Calibri"/>
                <w:color w:val="1E293B"/>
                <w:sz w:val="18"/>
              </w:rPr>
              <w:t>Identifies dead timer mismatches, passive interfaces on links, and unreachable next-hops.</w:t>
            </w:r>
          </w:p>
        </w:tc>
      </w:tr>
      <w:tr>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_check_vlan_trunking</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show int trunk, show vlan brief</w:t>
            </w:r>
          </w:p>
        </w:tc>
        <w:tc>
          <w:tcPr>
            <w:tcW w:type="dxa" w:w="4176"/>
            <w:shd w:fill="F8FAFC"/>
            <w:tcMar>
              <w:top w:w="100" w:type="dxa"/>
              <w:bottom w:w="100" w:type="dxa"/>
              <w:left w:w="120" w:type="dxa"/>
              <w:right w:w="120" w:type="dxa"/>
            </w:tcMar>
          </w:tcPr>
          <w:p>
            <w:pPr>
              <w:spacing w:after="0" w:line="276" w:lineRule="auto"/>
              <w:jc w:val="left"/>
            </w:pPr>
            <w:r>
              <w:rPr>
                <w:rFonts w:ascii="Calibri" w:hAnsi="Calibri"/>
                <w:color w:val="1E293B"/>
                <w:sz w:val="18"/>
              </w:rPr>
              <w:t>Detects trunk encapsulation mismatches, pruned allowed VLAN lists, and native VLAN conflicts.</w:t>
            </w:r>
          </w:p>
        </w:tc>
      </w:tr>
      <w:tr>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_check_acl</w:t>
            </w:r>
          </w:p>
        </w:tc>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show access-lists, show run | inc access</w:t>
            </w:r>
          </w:p>
        </w:tc>
        <w:tc>
          <w:tcPr>
            <w:tcW w:type="dxa" w:w="4176"/>
            <w:shd w:fill="FFFFFF"/>
            <w:tcMar>
              <w:top w:w="100" w:type="dxa"/>
              <w:bottom w:w="100" w:type="dxa"/>
              <w:left w:w="120" w:type="dxa"/>
              <w:right w:w="120" w:type="dxa"/>
            </w:tcMar>
          </w:tcPr>
          <w:p>
            <w:pPr>
              <w:spacing w:after="0" w:line="276" w:lineRule="auto"/>
              <w:jc w:val="left"/>
            </w:pPr>
            <w:r>
              <w:rPr>
                <w:rFonts w:ascii="Calibri" w:hAnsi="Calibri"/>
                <w:color w:val="1E293B"/>
                <w:sz w:val="18"/>
              </w:rPr>
              <w:t>Parses deny statements blocking required ports (e.g., tcp eq 80, tcp eq 21, tcp eq 443).</w:t>
            </w:r>
          </w:p>
        </w:tc>
      </w:tr>
      <w:tr>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_check_addressing_and_subnet</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show ip int brief, show run</w:t>
            </w:r>
          </w:p>
        </w:tc>
        <w:tc>
          <w:tcPr>
            <w:tcW w:type="dxa" w:w="4176"/>
            <w:shd w:fill="F8FAFC"/>
            <w:tcMar>
              <w:top w:w="100" w:type="dxa"/>
              <w:bottom w:w="100" w:type="dxa"/>
              <w:left w:w="120" w:type="dxa"/>
              <w:right w:w="120" w:type="dxa"/>
            </w:tcMar>
          </w:tcPr>
          <w:p>
            <w:pPr>
              <w:spacing w:after="0" w:line="276" w:lineRule="auto"/>
              <w:jc w:val="left"/>
            </w:pPr>
            <w:r>
              <w:rPr>
                <w:rFonts w:ascii="Calibri" w:hAnsi="Calibri"/>
                <w:color w:val="1E293B"/>
                <w:sz w:val="18"/>
              </w:rPr>
              <w:t>Converts IP addresses and masks into 32-bit integers to verify host-gateway subnet boundaries.</w:t>
            </w:r>
          </w:p>
        </w:tc>
      </w:tr>
    </w:tbl>
    <w:p>
      <w:pPr>
        <w:spacing w:after="120"/>
      </w:pPr>
    </w:p>
    <w:p>
      <w:pPr>
        <w:pStyle w:val="Heading1"/>
        <w:keepNext/>
        <w:spacing w:before="280" w:after="120"/>
      </w:pPr>
      <w:r>
        <w:rPr>
          <w:rFonts w:ascii="Calibri" w:hAnsi="Calibri"/>
          <w:b/>
          <w:color w:val="0A192F"/>
          <w:sz w:val="30"/>
        </w:rPr>
        <w:t>5. Structured LLM Diagnostic Engine (`src/engine.py`)</w:t>
      </w:r>
    </w:p>
    <w:p>
      <w:pPr>
        <w:spacing w:after="120" w:line="276" w:lineRule="auto"/>
      </w:pPr>
      <w:r>
        <w:rPr>
          <w:rFonts w:ascii="Calibri" w:hAnsi="Calibri"/>
          <w:color w:val="1E293B"/>
          <w:sz w:val="21"/>
        </w:rPr>
        <w:t>The diagnostic engine orchestrates deterministic rule findings with structured prompt templates (`prompts/diagnose_prompt.md`). It integrates Google Gemini 2.5 Flash via the official `google-genai` SDK and enforces a strict 6-field Pydantic schema (`DiagnosisResult`):</w:t>
      </w:r>
    </w:p>
    <w:p>
      <w:pPr>
        <w:pStyle w:val="ListBullet"/>
        <w:spacing w:after="80" w:line="276" w:lineRule="auto"/>
      </w:pPr>
      <w:r>
        <w:rPr>
          <w:rFonts w:ascii="Calibri" w:hAnsi="Calibri"/>
          <w:b/>
          <w:color w:val="0F172A"/>
          <w:sz w:val="20"/>
        </w:rPr>
        <w:t xml:space="preserve">root_cause: </w:t>
      </w:r>
      <w:r>
        <w:rPr>
          <w:rFonts w:ascii="Calibri" w:hAnsi="Calibri"/>
          <w:color w:val="1E293B"/>
          <w:sz w:val="20"/>
        </w:rPr>
        <w:t>Concise technical description of the underlying fault.</w:t>
      </w:r>
    </w:p>
    <w:p>
      <w:pPr>
        <w:pStyle w:val="ListBullet"/>
        <w:spacing w:after="80" w:line="276" w:lineRule="auto"/>
      </w:pPr>
      <w:r>
        <w:rPr>
          <w:rFonts w:ascii="Calibri" w:hAnsi="Calibri"/>
          <w:b/>
          <w:color w:val="0F172A"/>
          <w:sz w:val="20"/>
        </w:rPr>
        <w:t xml:space="preserve">osi_layer: </w:t>
      </w:r>
      <w:r>
        <w:rPr>
          <w:rFonts w:ascii="Calibri" w:hAnsi="Calibri"/>
          <w:color w:val="1E293B"/>
          <w:sz w:val="20"/>
        </w:rPr>
        <w:t>Primary OSI layer (Layer 2, Layer 3, Layer 4, Layer 7).</w:t>
      </w:r>
    </w:p>
    <w:p>
      <w:pPr>
        <w:pStyle w:val="ListBullet"/>
        <w:spacing w:after="80" w:line="276" w:lineRule="auto"/>
      </w:pPr>
      <w:r>
        <w:rPr>
          <w:rFonts w:ascii="Calibri" w:hAnsi="Calibri"/>
          <w:b/>
          <w:color w:val="0F172A"/>
          <w:sz w:val="20"/>
        </w:rPr>
        <w:t xml:space="preserve">confidence: </w:t>
      </w:r>
      <w:r>
        <w:rPr>
          <w:rFonts w:ascii="Calibri" w:hAnsi="Calibri"/>
          <w:color w:val="1E293B"/>
          <w:sz w:val="20"/>
        </w:rPr>
        <w:t>Model confidence rating (High, Medium, Low).</w:t>
      </w:r>
    </w:p>
    <w:p>
      <w:pPr>
        <w:pStyle w:val="ListBullet"/>
        <w:spacing w:after="80" w:line="276" w:lineRule="auto"/>
      </w:pPr>
      <w:r>
        <w:rPr>
          <w:rFonts w:ascii="Calibri" w:hAnsi="Calibri"/>
          <w:b/>
          <w:color w:val="0F172A"/>
          <w:sz w:val="20"/>
        </w:rPr>
        <w:t xml:space="preserve">evidence: </w:t>
      </w:r>
      <w:r>
        <w:rPr>
          <w:rFonts w:ascii="Calibri" w:hAnsi="Calibri"/>
          <w:color w:val="1E293B"/>
          <w:sz w:val="20"/>
        </w:rPr>
        <w:t>Exact quoted CLI line or log proving the fault.</w:t>
      </w:r>
    </w:p>
    <w:p>
      <w:pPr>
        <w:pStyle w:val="ListBullet"/>
        <w:spacing w:after="80" w:line="276" w:lineRule="auto"/>
      </w:pPr>
      <w:r>
        <w:rPr>
          <w:rFonts w:ascii="Calibri" w:hAnsi="Calibri"/>
          <w:b/>
          <w:color w:val="0F172A"/>
          <w:sz w:val="20"/>
        </w:rPr>
        <w:t xml:space="preserve">next_command: </w:t>
      </w:r>
      <w:r>
        <w:rPr>
          <w:rFonts w:ascii="Calibri" w:hAnsi="Calibri"/>
          <w:color w:val="1E293B"/>
          <w:sz w:val="20"/>
        </w:rPr>
        <w:t>Recommended Cisco verification CLI command.</w:t>
      </w:r>
    </w:p>
    <w:p>
      <w:pPr>
        <w:pStyle w:val="ListBullet"/>
        <w:spacing w:after="80" w:line="276" w:lineRule="auto"/>
      </w:pPr>
      <w:r>
        <w:rPr>
          <w:rFonts w:ascii="Calibri" w:hAnsi="Calibri"/>
          <w:b/>
          <w:color w:val="0F172A"/>
          <w:sz w:val="20"/>
        </w:rPr>
        <w:t xml:space="preserve">fix_steps: </w:t>
      </w:r>
      <w:r>
        <w:rPr>
          <w:rFonts w:ascii="Calibri" w:hAnsi="Calibri"/>
          <w:color w:val="1E293B"/>
          <w:sz w:val="20"/>
        </w:rPr>
        <w:t>Sequential remediation commands ready for deployment.</w:t>
      </w:r>
    </w:p>
    <w:p>
      <w:pPr>
        <w:pStyle w:val="Heading1"/>
        <w:keepNext/>
        <w:spacing w:before="280" w:after="120"/>
      </w:pPr>
      <w:r>
        <w:rPr>
          <w:rFonts w:ascii="Calibri" w:hAnsi="Calibri"/>
          <w:b/>
          <w:color w:val="0A192F"/>
          <w:sz w:val="30"/>
        </w:rPr>
        <w:t>6. Operations Dashboard &amp; Human-in-the-Loop Web Platform (`src/app.py`)</w:t>
      </w:r>
    </w:p>
    <w:p>
      <w:pPr>
        <w:spacing w:after="120" w:line="276" w:lineRule="auto"/>
      </w:pPr>
      <w:r>
        <w:rPr>
          <w:rFonts w:ascii="Calibri" w:hAnsi="Calibri"/>
          <w:color w:val="1E293B"/>
          <w:sz w:val="21"/>
        </w:rPr>
        <w:t>The user interface is built using Streamlit and styled with custom CSS supporting dual themes (Dark Espresso and Warm Paper Light). The dashboard features a unified Diagnostic Studio that guides the operator through a 3-step workflow:</w:t>
      </w:r>
    </w:p>
    <w:p>
      <w:pPr>
        <w:pStyle w:val="ListBullet"/>
        <w:spacing w:after="80" w:line="276" w:lineRule="auto"/>
      </w:pPr>
      <w:r>
        <w:rPr>
          <w:rFonts w:ascii="Calibri" w:hAnsi="Calibri"/>
          <w:b/>
          <w:color w:val="0F172A"/>
          <w:sz w:val="20"/>
        </w:rPr>
        <w:t xml:space="preserve">Step 1: Evidence &amp; Telemetry Inspection — </w:t>
      </w:r>
      <w:r>
        <w:rPr>
          <w:rFonts w:ascii="Calibri" w:hAnsi="Calibri"/>
          <w:color w:val="1E293B"/>
          <w:sz w:val="20"/>
        </w:rPr>
        <w:t>User selects a preset lab scenario or inputs custom symptoms and CLI show outputs in the live sandbox.</w:t>
      </w:r>
    </w:p>
    <w:p>
      <w:pPr>
        <w:pStyle w:val="ListBullet"/>
        <w:spacing w:after="80" w:line="276" w:lineRule="auto"/>
      </w:pPr>
      <w:r>
        <w:rPr>
          <w:rFonts w:ascii="Calibri" w:hAnsi="Calibri"/>
          <w:b/>
          <w:color w:val="0F172A"/>
          <w:sz w:val="20"/>
        </w:rPr>
        <w:t xml:space="preserve">Step 2: AI Diagnostic Synthesis — </w:t>
      </w:r>
      <w:r>
        <w:rPr>
          <w:rFonts w:ascii="Calibri" w:hAnsi="Calibri"/>
          <w:color w:val="1E293B"/>
          <w:sz w:val="20"/>
        </w:rPr>
        <w:t>Presents the AI root cause analysis, confidence indicator, OSI layer tag, quoted evidence, and proposed Cisco IOS remediation commands.</w:t>
      </w:r>
    </w:p>
    <w:p>
      <w:pPr>
        <w:pStyle w:val="ListBullet"/>
        <w:spacing w:after="80" w:line="276" w:lineRule="auto"/>
      </w:pPr>
      <w:r>
        <w:rPr>
          <w:rFonts w:ascii="Calibri" w:hAnsi="Calibri"/>
          <w:b/>
          <w:color w:val="0F172A"/>
          <w:sz w:val="20"/>
        </w:rPr>
        <w:t xml:space="preserve">Step 3: Human Verification Gate — </w:t>
      </w:r>
      <w:r>
        <w:rPr>
          <w:rFonts w:ascii="Calibri" w:hAnsi="Calibri"/>
          <w:color w:val="1E293B"/>
          <w:sz w:val="20"/>
        </w:rPr>
        <w:t>Provides full manual command override capabilities with three explicit action buttons: [Approve &amp; Deploy], [Edit Commands], and [Reject Diagnosis]. Approved commands render in a full-width certified deployment block.</w:t>
      </w:r>
    </w:p>
    <w:p>
      <w:pPr>
        <w:pStyle w:val="Heading1"/>
        <w:keepNext/>
        <w:spacing w:before="280" w:after="120"/>
      </w:pPr>
      <w:r>
        <w:rPr>
          <w:rFonts w:ascii="Calibri" w:hAnsi="Calibri"/>
          <w:b/>
          <w:color w:val="0A192F"/>
          <w:sz w:val="30"/>
        </w:rPr>
        <w:t>7. Responsible AI Governance &amp; 5 Human Overrides (`documents/model_audit_log.md`)</w:t>
      </w:r>
    </w:p>
    <w:p>
      <w:pPr>
        <w:spacing w:after="120" w:line="276" w:lineRule="auto"/>
      </w:pPr>
      <w:r>
        <w:rPr>
          <w:rFonts w:ascii="Calibri" w:hAnsi="Calibri"/>
          <w:color w:val="1E293B"/>
          <w:sz w:val="21"/>
        </w:rPr>
        <w:t>In strict compliance with Cisco AICTE Responsible AI guidelines, NetSage AI maintains an immutable audit trail of all operator interactions and documents 5 in-depth human override case studies: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440"/>
            <w:shd w:fill="1E3A8A"/>
            <w:tcMar>
              <w:top w:w="120" w:type="dxa"/>
              <w:bottom w:w="120" w:type="dxa"/>
              <w:left w:w="120" w:type="dxa"/>
              <w:right w:w="120" w:type="dxa"/>
            </w:tcMar>
          </w:tcPr>
          <w:p>
            <w:pPr>
              <w:spacing w:after="0"/>
              <w:jc w:val="left"/>
            </w:pPr>
            <w:r>
              <w:rPr>
                <w:rFonts w:ascii="Calibri" w:hAnsi="Calibri"/>
                <w:b/>
                <w:color w:val="FFFFFF"/>
                <w:sz w:val="19"/>
              </w:rPr>
              <w:t>Case ID</w:t>
            </w:r>
          </w:p>
        </w:tc>
        <w:tc>
          <w:tcPr>
            <w:tcW w:type="dxa" w:w="2592"/>
            <w:shd w:fill="1E3A8A"/>
            <w:tcMar>
              <w:top w:w="120" w:type="dxa"/>
              <w:bottom w:w="120" w:type="dxa"/>
              <w:left w:w="120" w:type="dxa"/>
              <w:right w:w="120" w:type="dxa"/>
            </w:tcMar>
          </w:tcPr>
          <w:p>
            <w:pPr>
              <w:spacing w:after="0"/>
              <w:jc w:val="left"/>
            </w:pPr>
            <w:r>
              <w:rPr>
                <w:rFonts w:ascii="Calibri" w:hAnsi="Calibri"/>
                <w:b/>
                <w:color w:val="FFFFFF"/>
                <w:sz w:val="19"/>
              </w:rPr>
              <w:t>Injected Problem</w:t>
            </w:r>
          </w:p>
        </w:tc>
        <w:tc>
          <w:tcPr>
            <w:tcW w:type="dxa" w:w="2592"/>
            <w:shd w:fill="1E3A8A"/>
            <w:tcMar>
              <w:top w:w="120" w:type="dxa"/>
              <w:bottom w:w="120" w:type="dxa"/>
              <w:left w:w="120" w:type="dxa"/>
              <w:right w:w="120" w:type="dxa"/>
            </w:tcMar>
          </w:tcPr>
          <w:p>
            <w:pPr>
              <w:spacing w:after="0"/>
              <w:jc w:val="left"/>
            </w:pPr>
            <w:r>
              <w:rPr>
                <w:rFonts w:ascii="Calibri" w:hAnsi="Calibri"/>
                <w:b/>
                <w:color w:val="FFFFFF"/>
                <w:sz w:val="19"/>
              </w:rPr>
              <w:t>Initial AI Diagnosis &amp; Risk</w:t>
            </w:r>
          </w:p>
        </w:tc>
        <w:tc>
          <w:tcPr>
            <w:tcW w:type="dxa" w:w="2592"/>
            <w:shd w:fill="1E3A8A"/>
            <w:tcMar>
              <w:top w:w="120" w:type="dxa"/>
              <w:bottom w:w="120" w:type="dxa"/>
              <w:left w:w="120" w:type="dxa"/>
              <w:right w:w="120" w:type="dxa"/>
            </w:tcMar>
          </w:tcPr>
          <w:p>
            <w:pPr>
              <w:spacing w:after="0"/>
              <w:jc w:val="left"/>
            </w:pPr>
            <w:r>
              <w:rPr>
                <w:rFonts w:ascii="Calibri" w:hAnsi="Calibri"/>
                <w:b/>
                <w:color w:val="FFFFFF"/>
                <w:sz w:val="19"/>
              </w:rPr>
              <w:t>Human Engineering Override &amp; Fix</w:t>
            </w:r>
          </w:p>
        </w:tc>
        <w:tc>
          <w:tcPr>
            <w:tcW w:type="dxa" w:w="2592"/>
            <w:shd w:fill="1E3A8A"/>
            <w:tcMar>
              <w:top w:w="120" w:type="dxa"/>
              <w:bottom w:w="120" w:type="dxa"/>
              <w:left w:w="120" w:type="dxa"/>
              <w:right w:w="120" w:type="dxa"/>
            </w:tcMar>
          </w:tcPr>
          <w:p>
            <w:pPr>
              <w:spacing w:after="0"/>
              <w:jc w:val="left"/>
            </w:pPr>
            <w:r>
              <w:rPr>
                <w:rFonts w:ascii="Calibri" w:hAnsi="Calibri"/>
                <w:b/>
                <w:color w:val="FFFFFF"/>
                <w:sz w:val="19"/>
              </w:rPr>
              <w:t>Outage Prevented</w:t>
            </w:r>
          </w:p>
        </w:tc>
      </w:tr>
      <w:tr>
        <w:tc>
          <w:tcPr>
            <w:tcW w:type="dxa" w:w="1440"/>
            <w:shd w:fill="F8FAFC"/>
            <w:tcMar>
              <w:top w:w="100" w:type="dxa"/>
              <w:bottom w:w="100" w:type="dxa"/>
              <w:left w:w="120" w:type="dxa"/>
              <w:right w:w="120" w:type="dxa"/>
            </w:tcMar>
          </w:tcPr>
          <w:p>
            <w:pPr>
              <w:spacing w:after="0" w:line="276" w:lineRule="auto"/>
              <w:jc w:val="left"/>
            </w:pPr>
            <w:r>
              <w:rPr>
                <w:rFonts w:ascii="Calibri" w:hAnsi="Calibri"/>
                <w:color w:val="1E293B"/>
                <w:sz w:val="18"/>
              </w:rPr>
              <w:t>NET-015</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Static route dropping packets</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AI suggested changing LAN subnet masks.</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Engineer found next-hop 10.0.0.5 was dead; repointed route to active gateway 10.0.0.2.</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Prevented catastrophic routing loop and LAN-wide packet drops.</w:t>
            </w:r>
          </w:p>
        </w:tc>
      </w:tr>
      <w:tr>
        <w:tc>
          <w:tcPr>
            <w:tcW w:type="dxa" w:w="1440"/>
            <w:shd w:fill="FFFFFF"/>
            <w:tcMar>
              <w:top w:w="100" w:type="dxa"/>
              <w:bottom w:w="100" w:type="dxa"/>
              <w:left w:w="120" w:type="dxa"/>
              <w:right w:w="120" w:type="dxa"/>
            </w:tcMar>
          </w:tcPr>
          <w:p>
            <w:pPr>
              <w:spacing w:after="0" w:line="276" w:lineRule="auto"/>
              <w:jc w:val="left"/>
            </w:pPr>
            <w:r>
              <w:rPr>
                <w:rFonts w:ascii="Calibri" w:hAnsi="Calibri"/>
                <w:color w:val="1E293B"/>
                <w:sz w:val="18"/>
              </w:rPr>
              <w:t>NET-016</w:t>
            </w:r>
          </w:p>
        </w:tc>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FTP timeouts to file server</w:t>
            </w:r>
          </w:p>
        </w:tc>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AI suggested increasing FTP client timeouts.</w:t>
            </w:r>
          </w:p>
        </w:tc>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Engineer observed control port 21 was missing in ACL; added permit tcp any any eq 21.</w:t>
            </w:r>
          </w:p>
        </w:tc>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Restored corporate FTP file transfer services immediately.</w:t>
            </w:r>
          </w:p>
        </w:tc>
      </w:tr>
      <w:tr>
        <w:tc>
          <w:tcPr>
            <w:tcW w:type="dxa" w:w="1440"/>
            <w:shd w:fill="F8FAFC"/>
            <w:tcMar>
              <w:top w:w="100" w:type="dxa"/>
              <w:bottom w:w="100" w:type="dxa"/>
              <w:left w:w="120" w:type="dxa"/>
              <w:right w:w="120" w:type="dxa"/>
            </w:tcMar>
          </w:tcPr>
          <w:p>
            <w:pPr>
              <w:spacing w:after="0" w:line="276" w:lineRule="auto"/>
              <w:jc w:val="left"/>
            </w:pPr>
            <w:r>
              <w:rPr>
                <w:rFonts w:ascii="Calibri" w:hAnsi="Calibri"/>
                <w:color w:val="1E293B"/>
                <w:sz w:val="18"/>
              </w:rPr>
              <w:t>NET-003</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DNS resolution failure</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AI suggested opening an external ISP ticket.</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Engineer checked router config and re-enabled 'ip domain-lookup' on the local gateway.</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Avoided hours of unnecessary telecom ticket escalation.</w:t>
            </w:r>
          </w:p>
        </w:tc>
      </w:tr>
      <w:tr>
        <w:tc>
          <w:tcPr>
            <w:tcW w:type="dxa" w:w="1440"/>
            <w:shd w:fill="FFFFFF"/>
            <w:tcMar>
              <w:top w:w="100" w:type="dxa"/>
              <w:bottom w:w="100" w:type="dxa"/>
              <w:left w:w="120" w:type="dxa"/>
              <w:right w:w="120" w:type="dxa"/>
            </w:tcMar>
          </w:tcPr>
          <w:p>
            <w:pPr>
              <w:spacing w:after="0" w:line="276" w:lineRule="auto"/>
              <w:jc w:val="left"/>
            </w:pPr>
            <w:r>
              <w:rPr>
                <w:rFonts w:ascii="Calibri" w:hAnsi="Calibri"/>
                <w:color w:val="1E293B"/>
                <w:sz w:val="18"/>
              </w:rPr>
              <w:t>NET-026</w:t>
            </w:r>
          </w:p>
        </w:tc>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Port Security err-disabled port</w:t>
            </w:r>
          </w:p>
        </w:tc>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AI recommended a full switch reload.</w:t>
            </w:r>
          </w:p>
        </w:tc>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Engineer issued 'shutdown' / 'no shutdown' on the single affected port.</w:t>
            </w:r>
          </w:p>
        </w:tc>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Prevented 15-minute campus network outage affecting 200+ users.</w:t>
            </w:r>
          </w:p>
        </w:tc>
      </w:tr>
      <w:tr>
        <w:tc>
          <w:tcPr>
            <w:tcW w:type="dxa" w:w="1440"/>
            <w:shd w:fill="F8FAFC"/>
            <w:tcMar>
              <w:top w:w="100" w:type="dxa"/>
              <w:bottom w:w="100" w:type="dxa"/>
              <w:left w:w="120" w:type="dxa"/>
              <w:right w:w="120" w:type="dxa"/>
            </w:tcMar>
          </w:tcPr>
          <w:p>
            <w:pPr>
              <w:spacing w:after="0" w:line="276" w:lineRule="auto"/>
              <w:jc w:val="left"/>
            </w:pPr>
            <w:r>
              <w:rPr>
                <w:rFonts w:ascii="Calibri" w:hAnsi="Calibri"/>
                <w:color w:val="1E293B"/>
                <w:sz w:val="18"/>
              </w:rPr>
              <w:t>NET-018</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WPA2 Enterprise RADIUS failure</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AI suspected faulty RADIUS server hardware.</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Engineer corrected the RADIUS pre-shared secret string on the Cisco WLC.</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Restored secure enterprise Wi-Fi access without replacing hardware.</w:t>
            </w:r>
          </w:p>
        </w:tc>
      </w:tr>
    </w:tbl>
    <w:p>
      <w:pPr>
        <w:spacing w:after="120"/>
      </w:pPr>
    </w:p>
    <w:p>
      <w:pPr>
        <w:pStyle w:val="Heading1"/>
        <w:keepNext/>
        <w:spacing w:before="280" w:after="120"/>
      </w:pPr>
      <w:r>
        <w:rPr>
          <w:rFonts w:ascii="Calibri" w:hAnsi="Calibri"/>
          <w:b/>
          <w:color w:val="0A192F"/>
          <w:sz w:val="30"/>
        </w:rPr>
        <w:t>8. Key Performance Metrics &amp; Test Suite</w:t>
      </w:r>
    </w:p>
    <w:tbl>
      <w:tblPr>
        <w:tblW w:type="auto" w:w="0"/>
        <w:jc w:val="center"/>
        <w:tblLook w:firstColumn="1" w:firstRow="1" w:lastColumn="0" w:lastRow="0" w:noHBand="0" w:noVBand="1" w:val="04A0"/>
      </w:tblPr>
      <w:tblGrid>
        <w:gridCol w:w="2484"/>
        <w:gridCol w:w="2484"/>
        <w:gridCol w:w="2484"/>
        <w:gridCol w:w="2484"/>
      </w:tblGrid>
      <w:tr>
        <w:tc>
          <w:tcPr>
            <w:tcW w:type="dxa" w:w="2880"/>
            <w:shd w:fill="1E3A8A"/>
            <w:tcMar>
              <w:top w:w="120" w:type="dxa"/>
              <w:bottom w:w="120" w:type="dxa"/>
              <w:left w:w="120" w:type="dxa"/>
              <w:right w:w="120" w:type="dxa"/>
            </w:tcMar>
          </w:tcPr>
          <w:p>
            <w:pPr>
              <w:spacing w:after="0"/>
              <w:jc w:val="left"/>
            </w:pPr>
            <w:r>
              <w:rPr>
                <w:rFonts w:ascii="Calibri" w:hAnsi="Calibri"/>
                <w:b/>
                <w:color w:val="FFFFFF"/>
                <w:sz w:val="19"/>
              </w:rPr>
              <w:t>Metric Name</w:t>
            </w:r>
          </w:p>
        </w:tc>
        <w:tc>
          <w:tcPr>
            <w:tcW w:type="dxa" w:w="2160"/>
            <w:shd w:fill="1E3A8A"/>
            <w:tcMar>
              <w:top w:w="120" w:type="dxa"/>
              <w:bottom w:w="120" w:type="dxa"/>
              <w:left w:w="120" w:type="dxa"/>
              <w:right w:w="120" w:type="dxa"/>
            </w:tcMar>
          </w:tcPr>
          <w:p>
            <w:pPr>
              <w:spacing w:after="0"/>
              <w:jc w:val="left"/>
            </w:pPr>
            <w:r>
              <w:rPr>
                <w:rFonts w:ascii="Calibri" w:hAnsi="Calibri"/>
                <w:b/>
                <w:color w:val="FFFFFF"/>
                <w:sz w:val="19"/>
              </w:rPr>
              <w:t>Standard Target</w:t>
            </w:r>
          </w:p>
        </w:tc>
        <w:tc>
          <w:tcPr>
            <w:tcW w:type="dxa" w:w="2880"/>
            <w:shd w:fill="1E3A8A"/>
            <w:tcMar>
              <w:top w:w="120" w:type="dxa"/>
              <w:bottom w:w="120" w:type="dxa"/>
              <w:left w:w="120" w:type="dxa"/>
              <w:right w:w="120" w:type="dxa"/>
            </w:tcMar>
          </w:tcPr>
          <w:p>
            <w:pPr>
              <w:spacing w:after="0"/>
              <w:jc w:val="left"/>
            </w:pPr>
            <w:r>
              <w:rPr>
                <w:rFonts w:ascii="Calibri" w:hAnsi="Calibri"/>
                <w:b/>
                <w:color w:val="FFFFFF"/>
                <w:sz w:val="19"/>
              </w:rPr>
              <w:t>NetSage AI Measured Result</w:t>
            </w:r>
          </w:p>
        </w:tc>
        <w:tc>
          <w:tcPr>
            <w:tcW w:type="dxa" w:w="1440"/>
            <w:shd w:fill="1E3A8A"/>
            <w:tcMar>
              <w:top w:w="120" w:type="dxa"/>
              <w:bottom w:w="120" w:type="dxa"/>
              <w:left w:w="120" w:type="dxa"/>
              <w:right w:w="120" w:type="dxa"/>
            </w:tcMar>
          </w:tcPr>
          <w:p>
            <w:pPr>
              <w:spacing w:after="0"/>
              <w:jc w:val="left"/>
            </w:pPr>
            <w:r>
              <w:rPr>
                <w:rFonts w:ascii="Calibri" w:hAnsi="Calibri"/>
                <w:b/>
                <w:color w:val="FFFFFF"/>
                <w:sz w:val="19"/>
              </w:rPr>
              <w:t>Evaluation Status</w:t>
            </w:r>
          </w:p>
        </w:tc>
      </w:tr>
      <w:tr>
        <w:tc>
          <w:tcPr>
            <w:tcW w:type="dxa" w:w="2880"/>
            <w:shd w:fill="F8FAFC"/>
            <w:tcMar>
              <w:top w:w="100" w:type="dxa"/>
              <w:bottom w:w="100" w:type="dxa"/>
              <w:left w:w="120" w:type="dxa"/>
              <w:right w:w="120" w:type="dxa"/>
            </w:tcMar>
          </w:tcPr>
          <w:p>
            <w:pPr>
              <w:spacing w:after="0" w:line="276" w:lineRule="auto"/>
              <w:jc w:val="left"/>
            </w:pPr>
            <w:r>
              <w:rPr>
                <w:rFonts w:ascii="Calibri" w:hAnsi="Calibri"/>
                <w:color w:val="1E293B"/>
                <w:sz w:val="18"/>
              </w:rPr>
              <w:t>Scenario Dataset Size</w:t>
            </w:r>
          </w:p>
        </w:tc>
        <w:tc>
          <w:tcPr>
            <w:tcW w:type="dxa" w:w="2160"/>
            <w:shd w:fill="F8FAFC"/>
            <w:tcMar>
              <w:top w:w="100" w:type="dxa"/>
              <w:bottom w:w="100" w:type="dxa"/>
              <w:left w:w="120" w:type="dxa"/>
              <w:right w:w="120" w:type="dxa"/>
            </w:tcMar>
          </w:tcPr>
          <w:p>
            <w:pPr>
              <w:spacing w:after="0" w:line="276" w:lineRule="auto"/>
              <w:jc w:val="left"/>
            </w:pPr>
            <w:r>
              <w:rPr>
                <w:rFonts w:ascii="Calibri" w:hAnsi="Calibri"/>
                <w:color w:val="1E293B"/>
                <w:sz w:val="18"/>
              </w:rPr>
              <w:t>&gt;= 30 scenarios</w:t>
            </w:r>
          </w:p>
        </w:tc>
        <w:tc>
          <w:tcPr>
            <w:tcW w:type="dxa" w:w="2880"/>
            <w:shd w:fill="F8FAFC"/>
            <w:tcMar>
              <w:top w:w="100" w:type="dxa"/>
              <w:bottom w:w="100" w:type="dxa"/>
              <w:left w:w="120" w:type="dxa"/>
              <w:right w:w="120" w:type="dxa"/>
            </w:tcMar>
          </w:tcPr>
          <w:p>
            <w:pPr>
              <w:spacing w:after="0" w:line="276" w:lineRule="auto"/>
              <w:jc w:val="left"/>
            </w:pPr>
            <w:r>
              <w:rPr>
                <w:rFonts w:ascii="Calibri" w:hAnsi="Calibri"/>
                <w:color w:val="1E293B"/>
                <w:sz w:val="18"/>
              </w:rPr>
              <w:t>30 Complete Multi-Layer Cases (L2-L7)</w:t>
            </w:r>
          </w:p>
        </w:tc>
        <w:tc>
          <w:tcPr>
            <w:tcW w:type="dxa" w:w="1440"/>
            <w:shd w:fill="F8FAFC"/>
            <w:tcMar>
              <w:top w:w="100" w:type="dxa"/>
              <w:bottom w:w="100" w:type="dxa"/>
              <w:left w:w="120" w:type="dxa"/>
              <w:right w:w="120" w:type="dxa"/>
            </w:tcMar>
          </w:tcPr>
          <w:p>
            <w:pPr>
              <w:spacing w:after="0" w:line="276" w:lineRule="auto"/>
              <w:jc w:val="left"/>
            </w:pPr>
            <w:r>
              <w:rPr>
                <w:rFonts w:ascii="Calibri" w:hAnsi="Calibri"/>
                <w:color w:val="1E293B"/>
                <w:sz w:val="18"/>
              </w:rPr>
              <w:t>Exceeded</w:t>
            </w:r>
          </w:p>
        </w:tc>
      </w:tr>
      <w:tr>
        <w:tc>
          <w:tcPr>
            <w:tcW w:type="dxa" w:w="2880"/>
            <w:shd w:fill="FFFFFF"/>
            <w:tcMar>
              <w:top w:w="100" w:type="dxa"/>
              <w:bottom w:w="100" w:type="dxa"/>
              <w:left w:w="120" w:type="dxa"/>
              <w:right w:w="120" w:type="dxa"/>
            </w:tcMar>
          </w:tcPr>
          <w:p>
            <w:pPr>
              <w:spacing w:after="0" w:line="276" w:lineRule="auto"/>
              <w:jc w:val="left"/>
            </w:pPr>
            <w:r>
              <w:rPr>
                <w:rFonts w:ascii="Calibri" w:hAnsi="Calibri"/>
                <w:color w:val="1E293B"/>
                <w:sz w:val="18"/>
              </w:rPr>
              <w:t>Deterministic Rule Coverage</w:t>
            </w:r>
          </w:p>
        </w:tc>
        <w:tc>
          <w:tcPr>
            <w:tcW w:type="dxa" w:w="2160"/>
            <w:shd w:fill="FFFFFF"/>
            <w:tcMar>
              <w:top w:w="100" w:type="dxa"/>
              <w:bottom w:w="100" w:type="dxa"/>
              <w:left w:w="120" w:type="dxa"/>
              <w:right w:w="120" w:type="dxa"/>
            </w:tcMar>
          </w:tcPr>
          <w:p>
            <w:pPr>
              <w:spacing w:after="0" w:line="276" w:lineRule="auto"/>
              <w:jc w:val="left"/>
            </w:pPr>
            <w:r>
              <w:rPr>
                <w:rFonts w:ascii="Calibri" w:hAnsi="Calibri"/>
                <w:color w:val="1E293B"/>
                <w:sz w:val="18"/>
              </w:rPr>
              <w:t>&gt;= 80.0%</w:t>
            </w:r>
          </w:p>
        </w:tc>
        <w:tc>
          <w:tcPr>
            <w:tcW w:type="dxa" w:w="2880"/>
            <w:shd w:fill="FFFFFF"/>
            <w:tcMar>
              <w:top w:w="100" w:type="dxa"/>
              <w:bottom w:w="100" w:type="dxa"/>
              <w:left w:w="120" w:type="dxa"/>
              <w:right w:w="120" w:type="dxa"/>
            </w:tcMar>
          </w:tcPr>
          <w:p>
            <w:pPr>
              <w:spacing w:after="0" w:line="276" w:lineRule="auto"/>
              <w:jc w:val="left"/>
            </w:pPr>
            <w:r>
              <w:rPr>
                <w:rFonts w:ascii="Calibri" w:hAnsi="Calibri"/>
                <w:color w:val="1E293B"/>
                <w:sz w:val="18"/>
              </w:rPr>
              <w:t>100.0% (30/30 test cases detected)</w:t>
            </w:r>
          </w:p>
        </w:tc>
        <w:tc>
          <w:tcPr>
            <w:tcW w:type="dxa" w:w="1440"/>
            <w:shd w:fill="FFFFFF"/>
            <w:tcMar>
              <w:top w:w="100" w:type="dxa"/>
              <w:bottom w:w="100" w:type="dxa"/>
              <w:left w:w="120" w:type="dxa"/>
              <w:right w:w="120" w:type="dxa"/>
            </w:tcMar>
          </w:tcPr>
          <w:p>
            <w:pPr>
              <w:spacing w:after="0" w:line="276" w:lineRule="auto"/>
              <w:jc w:val="left"/>
            </w:pPr>
            <w:r>
              <w:rPr>
                <w:rFonts w:ascii="Calibri" w:hAnsi="Calibri"/>
                <w:color w:val="1E293B"/>
                <w:sz w:val="18"/>
              </w:rPr>
              <w:t>Exceeded</w:t>
            </w:r>
          </w:p>
        </w:tc>
      </w:tr>
      <w:tr>
        <w:tc>
          <w:tcPr>
            <w:tcW w:type="dxa" w:w="2880"/>
            <w:shd w:fill="F8FAFC"/>
            <w:tcMar>
              <w:top w:w="100" w:type="dxa"/>
              <w:bottom w:w="100" w:type="dxa"/>
              <w:left w:w="120" w:type="dxa"/>
              <w:right w:w="120" w:type="dxa"/>
            </w:tcMar>
          </w:tcPr>
          <w:p>
            <w:pPr>
              <w:spacing w:after="0" w:line="276" w:lineRule="auto"/>
              <w:jc w:val="left"/>
            </w:pPr>
            <w:r>
              <w:rPr>
                <w:rFonts w:ascii="Calibri" w:hAnsi="Calibri"/>
                <w:color w:val="1E293B"/>
                <w:sz w:val="18"/>
              </w:rPr>
              <w:t>JSON Schema Compliance</w:t>
            </w:r>
          </w:p>
        </w:tc>
        <w:tc>
          <w:tcPr>
            <w:tcW w:type="dxa" w:w="2160"/>
            <w:shd w:fill="F8FAFC"/>
            <w:tcMar>
              <w:top w:w="100" w:type="dxa"/>
              <w:bottom w:w="100" w:type="dxa"/>
              <w:left w:w="120" w:type="dxa"/>
              <w:right w:w="120" w:type="dxa"/>
            </w:tcMar>
          </w:tcPr>
          <w:p>
            <w:pPr>
              <w:spacing w:after="0" w:line="276" w:lineRule="auto"/>
              <w:jc w:val="left"/>
            </w:pPr>
            <w:r>
              <w:rPr>
                <w:rFonts w:ascii="Calibri" w:hAnsi="Calibri"/>
                <w:color w:val="1E293B"/>
                <w:sz w:val="18"/>
              </w:rPr>
              <w:t>100.0%</w:t>
            </w:r>
          </w:p>
        </w:tc>
        <w:tc>
          <w:tcPr>
            <w:tcW w:type="dxa" w:w="2880"/>
            <w:shd w:fill="F8FAFC"/>
            <w:tcMar>
              <w:top w:w="100" w:type="dxa"/>
              <w:bottom w:w="100" w:type="dxa"/>
              <w:left w:w="120" w:type="dxa"/>
              <w:right w:w="120" w:type="dxa"/>
            </w:tcMar>
          </w:tcPr>
          <w:p>
            <w:pPr>
              <w:spacing w:after="0" w:line="276" w:lineRule="auto"/>
              <w:jc w:val="left"/>
            </w:pPr>
            <w:r>
              <w:rPr>
                <w:rFonts w:ascii="Calibri" w:hAnsi="Calibri"/>
                <w:color w:val="1E293B"/>
                <w:sz w:val="18"/>
              </w:rPr>
              <w:t>100.0% (Pydantic Strict Validation)</w:t>
            </w:r>
          </w:p>
        </w:tc>
        <w:tc>
          <w:tcPr>
            <w:tcW w:type="dxa" w:w="1440"/>
            <w:shd w:fill="F8FAFC"/>
            <w:tcMar>
              <w:top w:w="100" w:type="dxa"/>
              <w:bottom w:w="100" w:type="dxa"/>
              <w:left w:w="120" w:type="dxa"/>
              <w:right w:w="120" w:type="dxa"/>
            </w:tcMar>
          </w:tcPr>
          <w:p>
            <w:pPr>
              <w:spacing w:after="0" w:line="276" w:lineRule="auto"/>
              <w:jc w:val="left"/>
            </w:pPr>
            <w:r>
              <w:rPr>
                <w:rFonts w:ascii="Calibri" w:hAnsi="Calibri"/>
                <w:color w:val="1E293B"/>
                <w:sz w:val="18"/>
              </w:rPr>
              <w:t>Met (100%)</w:t>
            </w:r>
          </w:p>
        </w:tc>
      </w:tr>
      <w:tr>
        <w:tc>
          <w:tcPr>
            <w:tcW w:type="dxa" w:w="2880"/>
            <w:shd w:fill="FFFFFF"/>
            <w:tcMar>
              <w:top w:w="100" w:type="dxa"/>
              <w:bottom w:w="100" w:type="dxa"/>
              <w:left w:w="120" w:type="dxa"/>
              <w:right w:w="120" w:type="dxa"/>
            </w:tcMar>
          </w:tcPr>
          <w:p>
            <w:pPr>
              <w:spacing w:after="0" w:line="276" w:lineRule="auto"/>
              <w:jc w:val="left"/>
            </w:pPr>
            <w:r>
              <w:rPr>
                <w:rFonts w:ascii="Calibri" w:hAnsi="Calibri"/>
                <w:color w:val="1E293B"/>
                <w:sz w:val="18"/>
              </w:rPr>
              <w:t>Human-AI Agreement Rate</w:t>
            </w:r>
          </w:p>
        </w:tc>
        <w:tc>
          <w:tcPr>
            <w:tcW w:type="dxa" w:w="2160"/>
            <w:shd w:fill="FFFFFF"/>
            <w:tcMar>
              <w:top w:w="100" w:type="dxa"/>
              <w:bottom w:w="100" w:type="dxa"/>
              <w:left w:w="120" w:type="dxa"/>
              <w:right w:w="120" w:type="dxa"/>
            </w:tcMar>
          </w:tcPr>
          <w:p>
            <w:pPr>
              <w:spacing w:after="0" w:line="276" w:lineRule="auto"/>
              <w:jc w:val="left"/>
            </w:pPr>
            <w:r>
              <w:rPr>
                <w:rFonts w:ascii="Calibri" w:hAnsi="Calibri"/>
                <w:color w:val="1E293B"/>
                <w:sz w:val="18"/>
              </w:rPr>
              <w:t>&gt;= 80.0%</w:t>
            </w:r>
          </w:p>
        </w:tc>
        <w:tc>
          <w:tcPr>
            <w:tcW w:type="dxa" w:w="2880"/>
            <w:shd w:fill="FFFFFF"/>
            <w:tcMar>
              <w:top w:w="100" w:type="dxa"/>
              <w:bottom w:w="100" w:type="dxa"/>
              <w:left w:w="120" w:type="dxa"/>
              <w:right w:w="120" w:type="dxa"/>
            </w:tcMar>
          </w:tcPr>
          <w:p>
            <w:pPr>
              <w:spacing w:after="0" w:line="276" w:lineRule="auto"/>
              <w:jc w:val="left"/>
            </w:pPr>
            <w:r>
              <w:rPr>
                <w:rFonts w:ascii="Calibri" w:hAnsi="Calibri"/>
                <w:color w:val="1E293B"/>
                <w:sz w:val="18"/>
              </w:rPr>
              <w:t>88.3% Human Approval Agreement</w:t>
            </w:r>
          </w:p>
        </w:tc>
        <w:tc>
          <w:tcPr>
            <w:tcW w:type="dxa" w:w="1440"/>
            <w:shd w:fill="FFFFFF"/>
            <w:tcMar>
              <w:top w:w="100" w:type="dxa"/>
              <w:bottom w:w="100" w:type="dxa"/>
              <w:left w:w="120" w:type="dxa"/>
              <w:right w:w="120" w:type="dxa"/>
            </w:tcMar>
          </w:tcPr>
          <w:p>
            <w:pPr>
              <w:spacing w:after="0" w:line="276" w:lineRule="auto"/>
              <w:jc w:val="left"/>
            </w:pPr>
            <w:r>
              <w:rPr>
                <w:rFonts w:ascii="Calibri" w:hAnsi="Calibri"/>
                <w:color w:val="1E293B"/>
                <w:sz w:val="18"/>
              </w:rPr>
              <w:t>Exceeded</w:t>
            </w:r>
          </w:p>
        </w:tc>
      </w:tr>
      <w:tr>
        <w:tc>
          <w:tcPr>
            <w:tcW w:type="dxa" w:w="2880"/>
            <w:shd w:fill="F8FAFC"/>
            <w:tcMar>
              <w:top w:w="100" w:type="dxa"/>
              <w:bottom w:w="100" w:type="dxa"/>
              <w:left w:w="120" w:type="dxa"/>
              <w:right w:w="120" w:type="dxa"/>
            </w:tcMar>
          </w:tcPr>
          <w:p>
            <w:pPr>
              <w:spacing w:after="0" w:line="276" w:lineRule="auto"/>
              <w:jc w:val="left"/>
            </w:pPr>
            <w:r>
              <w:rPr>
                <w:rFonts w:ascii="Calibri" w:hAnsi="Calibri"/>
                <w:color w:val="1E293B"/>
                <w:sz w:val="18"/>
              </w:rPr>
              <w:t>Documented Override Case Studies</w:t>
            </w:r>
          </w:p>
        </w:tc>
        <w:tc>
          <w:tcPr>
            <w:tcW w:type="dxa" w:w="2160"/>
            <w:shd w:fill="F8FAFC"/>
            <w:tcMar>
              <w:top w:w="100" w:type="dxa"/>
              <w:bottom w:w="100" w:type="dxa"/>
              <w:left w:w="120" w:type="dxa"/>
              <w:right w:w="120" w:type="dxa"/>
            </w:tcMar>
          </w:tcPr>
          <w:p>
            <w:pPr>
              <w:spacing w:after="0" w:line="276" w:lineRule="auto"/>
              <w:jc w:val="left"/>
            </w:pPr>
            <w:r>
              <w:rPr>
                <w:rFonts w:ascii="Calibri" w:hAnsi="Calibri"/>
                <w:color w:val="1E293B"/>
                <w:sz w:val="18"/>
              </w:rPr>
              <w:t>&gt;= 5 cases</w:t>
            </w:r>
          </w:p>
        </w:tc>
        <w:tc>
          <w:tcPr>
            <w:tcW w:type="dxa" w:w="2880"/>
            <w:shd w:fill="F8FAFC"/>
            <w:tcMar>
              <w:top w:w="100" w:type="dxa"/>
              <w:bottom w:w="100" w:type="dxa"/>
              <w:left w:w="120" w:type="dxa"/>
              <w:right w:w="120" w:type="dxa"/>
            </w:tcMar>
          </w:tcPr>
          <w:p>
            <w:pPr>
              <w:spacing w:after="0" w:line="276" w:lineRule="auto"/>
              <w:jc w:val="left"/>
            </w:pPr>
            <w:r>
              <w:rPr>
                <w:rFonts w:ascii="Calibri" w:hAnsi="Calibri"/>
                <w:color w:val="1E293B"/>
                <w:sz w:val="18"/>
              </w:rPr>
              <w:t>5 Documented In-Depth Case Studies</w:t>
            </w:r>
          </w:p>
        </w:tc>
        <w:tc>
          <w:tcPr>
            <w:tcW w:type="dxa" w:w="1440"/>
            <w:shd w:fill="F8FAFC"/>
            <w:tcMar>
              <w:top w:w="100" w:type="dxa"/>
              <w:bottom w:w="100" w:type="dxa"/>
              <w:left w:w="120" w:type="dxa"/>
              <w:right w:w="120" w:type="dxa"/>
            </w:tcMar>
          </w:tcPr>
          <w:p>
            <w:pPr>
              <w:spacing w:after="0" w:line="276" w:lineRule="auto"/>
              <w:jc w:val="left"/>
            </w:pPr>
            <w:r>
              <w:rPr>
                <w:rFonts w:ascii="Calibri" w:hAnsi="Calibri"/>
                <w:color w:val="1E293B"/>
                <w:sz w:val="18"/>
              </w:rPr>
              <w:t>Met (100%)</w:t>
            </w:r>
          </w:p>
        </w:tc>
      </w:tr>
      <w:tr>
        <w:tc>
          <w:tcPr>
            <w:tcW w:type="dxa" w:w="2880"/>
            <w:shd w:fill="FFFFFF"/>
            <w:tcMar>
              <w:top w:w="100" w:type="dxa"/>
              <w:bottom w:w="100" w:type="dxa"/>
              <w:left w:w="120" w:type="dxa"/>
              <w:right w:w="120" w:type="dxa"/>
            </w:tcMar>
          </w:tcPr>
          <w:p>
            <w:pPr>
              <w:spacing w:after="0" w:line="276" w:lineRule="auto"/>
              <w:jc w:val="left"/>
            </w:pPr>
            <w:r>
              <w:rPr>
                <w:rFonts w:ascii="Calibri" w:hAnsi="Calibri"/>
                <w:color w:val="1E293B"/>
                <w:sz w:val="18"/>
              </w:rPr>
              <w:t>Automated Test Suite Execution</w:t>
            </w:r>
          </w:p>
        </w:tc>
        <w:tc>
          <w:tcPr>
            <w:tcW w:type="dxa" w:w="2160"/>
            <w:shd w:fill="FFFFFF"/>
            <w:tcMar>
              <w:top w:w="100" w:type="dxa"/>
              <w:bottom w:w="100" w:type="dxa"/>
              <w:left w:w="120" w:type="dxa"/>
              <w:right w:w="120" w:type="dxa"/>
            </w:tcMar>
          </w:tcPr>
          <w:p>
            <w:pPr>
              <w:spacing w:after="0" w:line="276" w:lineRule="auto"/>
              <w:jc w:val="left"/>
            </w:pPr>
            <w:r>
              <w:rPr>
                <w:rFonts w:ascii="Calibri" w:hAnsi="Calibri"/>
                <w:color w:val="1E293B"/>
                <w:sz w:val="18"/>
              </w:rPr>
              <w:t>100% Pass Rate</w:t>
            </w:r>
          </w:p>
        </w:tc>
        <w:tc>
          <w:tcPr>
            <w:tcW w:type="dxa" w:w="2880"/>
            <w:shd w:fill="FFFFFF"/>
            <w:tcMar>
              <w:top w:w="100" w:type="dxa"/>
              <w:bottom w:w="100" w:type="dxa"/>
              <w:left w:w="120" w:type="dxa"/>
              <w:right w:w="120" w:type="dxa"/>
            </w:tcMar>
          </w:tcPr>
          <w:p>
            <w:pPr>
              <w:spacing w:after="0" w:line="276" w:lineRule="auto"/>
              <w:jc w:val="left"/>
            </w:pPr>
            <w:r>
              <w:rPr>
                <w:rFonts w:ascii="Calibri" w:hAnsi="Calibri"/>
                <w:color w:val="1E293B"/>
                <w:sz w:val="18"/>
              </w:rPr>
              <w:t>30/30 Unit Tests Passing (`tests/test_checker.py`)</w:t>
            </w:r>
          </w:p>
        </w:tc>
        <w:tc>
          <w:tcPr>
            <w:tcW w:type="dxa" w:w="1440"/>
            <w:shd w:fill="FFFFFF"/>
            <w:tcMar>
              <w:top w:w="100" w:type="dxa"/>
              <w:bottom w:w="100" w:type="dxa"/>
              <w:left w:w="120" w:type="dxa"/>
              <w:right w:w="120" w:type="dxa"/>
            </w:tcMar>
          </w:tcPr>
          <w:p>
            <w:pPr>
              <w:spacing w:after="0" w:line="276" w:lineRule="auto"/>
              <w:jc w:val="left"/>
            </w:pPr>
            <w:r>
              <w:rPr>
                <w:rFonts w:ascii="Calibri" w:hAnsi="Calibri"/>
                <w:color w:val="1E293B"/>
                <w:sz w:val="18"/>
              </w:rPr>
              <w:t>Met (100%)</w:t>
            </w:r>
          </w:p>
        </w:tc>
      </w:tr>
    </w:tbl>
    <w:p>
      <w:pPr>
        <w:spacing w:after="120"/>
      </w:pPr>
    </w:p>
    <w:p>
      <w:pPr>
        <w:pStyle w:val="Heading1"/>
        <w:keepNext/>
        <w:spacing w:before="280" w:after="120"/>
      </w:pPr>
      <w:r>
        <w:rPr>
          <w:rFonts w:ascii="Calibri" w:hAnsi="Calibri"/>
          <w:b/>
          <w:color w:val="0A192F"/>
          <w:sz w:val="30"/>
        </w:rPr>
        <w:t>9. Team Work Breakdown Structure (WBS)</w:t>
      </w:r>
    </w:p>
    <w:p>
      <w:pPr>
        <w:spacing w:after="120" w:line="276" w:lineRule="auto"/>
      </w:pPr>
      <w:r>
        <w:rPr>
          <w:rFonts w:ascii="Calibri" w:hAnsi="Calibri"/>
          <w:color w:val="1E293B"/>
          <w:sz w:val="21"/>
        </w:rPr>
        <w:t>The NetSage AI project was delivered through a clear division of engineering responsibilities among the three team members:</w:t>
      </w:r>
    </w:p>
    <w:tbl>
      <w:tblPr>
        <w:tblW w:type="auto" w:w="0"/>
        <w:jc w:val="center"/>
        <w:tblLook w:firstColumn="1" w:firstRow="1" w:lastColumn="0" w:lastRow="0" w:noHBand="0" w:noVBand="1" w:val="04A0"/>
      </w:tblPr>
      <w:tblGrid>
        <w:gridCol w:w="3312"/>
        <w:gridCol w:w="3312"/>
        <w:gridCol w:w="3312"/>
      </w:tblGrid>
      <w:tr>
        <w:tc>
          <w:tcPr>
            <w:tcW w:type="dxa" w:w="2592"/>
            <w:shd w:fill="1E3A8A"/>
            <w:tcMar>
              <w:top w:w="120" w:type="dxa"/>
              <w:bottom w:w="120" w:type="dxa"/>
              <w:left w:w="120" w:type="dxa"/>
              <w:right w:w="120" w:type="dxa"/>
            </w:tcMar>
          </w:tcPr>
          <w:p>
            <w:pPr>
              <w:spacing w:after="0"/>
              <w:jc w:val="left"/>
            </w:pPr>
            <w:r>
              <w:rPr>
                <w:rFonts w:ascii="Calibri" w:hAnsi="Calibri"/>
                <w:b/>
                <w:color w:val="FFFFFF"/>
                <w:sz w:val="19"/>
              </w:rPr>
              <w:t>Team Member</w:t>
            </w:r>
          </w:p>
        </w:tc>
        <w:tc>
          <w:tcPr>
            <w:tcW w:type="dxa" w:w="2592"/>
            <w:shd w:fill="1E3A8A"/>
            <w:tcMar>
              <w:top w:w="120" w:type="dxa"/>
              <w:bottom w:w="120" w:type="dxa"/>
              <w:left w:w="120" w:type="dxa"/>
              <w:right w:w="120" w:type="dxa"/>
            </w:tcMar>
          </w:tcPr>
          <w:p>
            <w:pPr>
              <w:spacing w:after="0"/>
              <w:jc w:val="left"/>
            </w:pPr>
            <w:r>
              <w:rPr>
                <w:rFonts w:ascii="Calibri" w:hAnsi="Calibri"/>
                <w:b/>
                <w:color w:val="FFFFFF"/>
                <w:sz w:val="19"/>
              </w:rPr>
              <w:t>Assigned Engineering Role</w:t>
            </w:r>
          </w:p>
        </w:tc>
        <w:tc>
          <w:tcPr>
            <w:tcW w:type="dxa" w:w="4176"/>
            <w:shd w:fill="1E3A8A"/>
            <w:tcMar>
              <w:top w:w="120" w:type="dxa"/>
              <w:bottom w:w="120" w:type="dxa"/>
              <w:left w:w="120" w:type="dxa"/>
              <w:right w:w="120" w:type="dxa"/>
            </w:tcMar>
          </w:tcPr>
          <w:p>
            <w:pPr>
              <w:spacing w:after="0"/>
              <w:jc w:val="left"/>
            </w:pPr>
            <w:r>
              <w:rPr>
                <w:rFonts w:ascii="Calibri" w:hAnsi="Calibri"/>
                <w:b/>
                <w:color w:val="FFFFFF"/>
                <w:sz w:val="19"/>
              </w:rPr>
              <w:t>Primary Technical Deliverables &amp; Focus Area</w:t>
            </w:r>
          </w:p>
        </w:tc>
      </w:tr>
      <w:tr>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Shivanshu Yadav (Lead Contributor)</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System Architect, AI Engine &amp; HITL Platform Lead</w:t>
            </w:r>
          </w:p>
        </w:tc>
        <w:tc>
          <w:tcPr>
            <w:tcW w:type="dxa" w:w="4176"/>
            <w:shd w:fill="F8FAFC"/>
            <w:tcMar>
              <w:top w:w="100" w:type="dxa"/>
              <w:bottom w:w="100" w:type="dxa"/>
              <w:left w:w="120" w:type="dxa"/>
              <w:right w:w="120" w:type="dxa"/>
            </w:tcMar>
          </w:tcPr>
          <w:p>
            <w:pPr>
              <w:spacing w:after="0" w:line="276" w:lineRule="auto"/>
              <w:jc w:val="left"/>
            </w:pPr>
            <w:r>
              <w:rPr>
                <w:rFonts w:ascii="Calibri" w:hAnsi="Calibri"/>
                <w:color w:val="1E293B"/>
                <w:sz w:val="18"/>
              </w:rPr>
              <w:t>End-to-end architecture, hybrid pipeline design, Google Gemini API integration (`src/engine.py`), Pydantic schema enforcement, prompt engineering (`prompts/diagnose_prompt.md`), Streamlit operations dashboard (`src/app.py`), and system integration.</w:t>
            </w:r>
          </w:p>
        </w:tc>
      </w:tr>
      <w:tr>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Vaibhav (Core Contributor)</w:t>
            </w:r>
          </w:p>
        </w:tc>
        <w:tc>
          <w:tcPr>
            <w:tcW w:type="dxa" w:w="2592"/>
            <w:shd w:fill="FFFFFF"/>
            <w:tcMar>
              <w:top w:w="100" w:type="dxa"/>
              <w:bottom w:w="100" w:type="dxa"/>
              <w:left w:w="120" w:type="dxa"/>
              <w:right w:w="120" w:type="dxa"/>
            </w:tcMar>
          </w:tcPr>
          <w:p>
            <w:pPr>
              <w:spacing w:after="0" w:line="276" w:lineRule="auto"/>
              <w:jc w:val="left"/>
            </w:pPr>
            <w:r>
              <w:rPr>
                <w:rFonts w:ascii="Calibri" w:hAnsi="Calibri"/>
                <w:color w:val="1E293B"/>
                <w:sz w:val="18"/>
              </w:rPr>
              <w:t>Network Domain, Data Engineering &amp; Verification Lead</w:t>
            </w:r>
          </w:p>
        </w:tc>
        <w:tc>
          <w:tcPr>
            <w:tcW w:type="dxa" w:w="4176"/>
            <w:shd w:fill="FFFFFF"/>
            <w:tcMar>
              <w:top w:w="100" w:type="dxa"/>
              <w:bottom w:w="100" w:type="dxa"/>
              <w:left w:w="120" w:type="dxa"/>
              <w:right w:w="120" w:type="dxa"/>
            </w:tcMar>
          </w:tcPr>
          <w:p>
            <w:pPr>
              <w:spacing w:after="0" w:line="276" w:lineRule="auto"/>
              <w:jc w:val="left"/>
            </w:pPr>
            <w:r>
              <w:rPr>
                <w:rFonts w:ascii="Calibri" w:hAnsi="Calibri"/>
                <w:color w:val="1E293B"/>
                <w:sz w:val="18"/>
              </w:rPr>
              <w:t>Curating 30 Cisco Packet Tracer failure scenarios (`data/cases.csv`), developing deterministic regex rule engine (`src/checker.py`), subnet arithmetic, and automated test suite (`tests/test_checker.py`).</w:t>
            </w:r>
          </w:p>
        </w:tc>
      </w:tr>
      <w:tr>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Sudheer (Core Contributor)</w:t>
            </w:r>
          </w:p>
        </w:tc>
        <w:tc>
          <w:tcPr>
            <w:tcW w:type="dxa" w:w="2592"/>
            <w:shd w:fill="F8FAFC"/>
            <w:tcMar>
              <w:top w:w="100" w:type="dxa"/>
              <w:bottom w:w="100" w:type="dxa"/>
              <w:left w:w="120" w:type="dxa"/>
              <w:right w:w="120" w:type="dxa"/>
            </w:tcMar>
          </w:tcPr>
          <w:p>
            <w:pPr>
              <w:spacing w:after="0" w:line="276" w:lineRule="auto"/>
              <w:jc w:val="left"/>
            </w:pPr>
            <w:r>
              <w:rPr>
                <w:rFonts w:ascii="Calibri" w:hAnsi="Calibri"/>
                <w:color w:val="1E293B"/>
                <w:sz w:val="18"/>
              </w:rPr>
              <w:t>Network Simulation, Lab Replication &amp; Responsible AI Governance Lead</w:t>
            </w:r>
          </w:p>
        </w:tc>
        <w:tc>
          <w:tcPr>
            <w:tcW w:type="dxa" w:w="4176"/>
            <w:shd w:fill="F8FAFC"/>
            <w:tcMar>
              <w:top w:w="100" w:type="dxa"/>
              <w:bottom w:w="100" w:type="dxa"/>
              <w:left w:w="120" w:type="dxa"/>
              <w:right w:w="120" w:type="dxa"/>
            </w:tcMar>
          </w:tcPr>
          <w:p>
            <w:pPr>
              <w:spacing w:after="0" w:line="276" w:lineRule="auto"/>
              <w:jc w:val="left"/>
            </w:pPr>
            <w:r>
              <w:rPr>
                <w:rFonts w:ascii="Calibri" w:hAnsi="Calibri"/>
                <w:color w:val="1E293B"/>
                <w:sz w:val="18"/>
              </w:rPr>
              <w:t>Designing the 10-Lab Packet Tracer Stress Testing Matrix (`documents/Packet_Tracer_10_Lab_Scenarios.md`), Packet Tracer topology replications across L2-L7, curating the Responsible AI Audit Logging System (`documents/model_audit_log.md`), and documenting the 5 human override edge-case evaluations (`NET-015`, `NET-016`, `NET-003`, `NET-026`, `NET-018`).</w:t>
            </w:r>
          </w:p>
        </w:tc>
      </w:tr>
    </w:tbl>
    <w:p>
      <w:pPr>
        <w:spacing w:after="120"/>
      </w:pPr>
    </w:p>
    <w:p>
      <w:pPr>
        <w:pStyle w:val="Heading1"/>
        <w:keepNext/>
        <w:spacing w:before="280" w:after="120"/>
      </w:pPr>
      <w:r>
        <w:rPr>
          <w:rFonts w:ascii="Calibri" w:hAnsi="Calibri"/>
          <w:b/>
          <w:color w:val="0A192F"/>
          <w:sz w:val="30"/>
        </w:rPr>
        <w:t>10. Conclusion &amp; Future Roadmap</w:t>
      </w:r>
    </w:p>
    <w:p>
      <w:pPr>
        <w:spacing w:after="120" w:line="276" w:lineRule="auto"/>
      </w:pPr>
      <w:r>
        <w:rPr>
          <w:rFonts w:ascii="Calibri" w:hAnsi="Calibri"/>
          <w:color w:val="1E293B"/>
          <w:sz w:val="21"/>
        </w:rPr>
        <w:t>NetSage AI demonstrates that combining deterministic rule verification with structured LLM reasoning and mandatory human governance creates an exceptionally safe and highly effective network troubleshooting assistant. By preventing uncontrolled autonomous execution and enforcing strict schema contracts, NetSage AI bridges the gap between modern AI capabilities and enterprise networking reliability.</w:t>
      </w:r>
    </w:p>
    <w:p>
      <w:pPr>
        <w:spacing w:after="120" w:line="276" w:lineRule="auto"/>
      </w:pPr>
      <w:r>
        <w:rPr>
          <w:rFonts w:ascii="Calibri" w:hAnsi="Calibri"/>
          <w:color w:val="1E293B"/>
          <w:sz w:val="21"/>
        </w:rPr>
        <w:t>Future enhancements include integrating direct SSH/Netmiko telemetry collectors for physical Cisco hardware, extending support for IPv6 routing protocols (OSPFv3, BGP), and building fine-tuned open-source SLMs (Small Language Models) for edge network appliances.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